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A3" w:rsidRPr="009C016D" w:rsidRDefault="00EC02A3" w:rsidP="00EC02A3">
      <w:pPr>
        <w:jc w:val="center"/>
        <w:rPr>
          <w:rFonts w:ascii="Century Schoolbook" w:hAnsi="Century Schoolbook"/>
          <w:b/>
        </w:rPr>
      </w:pPr>
      <w:bookmarkStart w:id="0" w:name="_GoBack"/>
      <w:bookmarkEnd w:id="0"/>
      <w:r w:rsidRPr="009C016D">
        <w:rPr>
          <w:rFonts w:ascii="Century Schoolbook" w:hAnsi="Century Schoolbook"/>
          <w:b/>
        </w:rPr>
        <w:t>IN THE UNITED STATES DISTRICT COURT</w:t>
      </w:r>
    </w:p>
    <w:p w:rsidR="00EC02A3" w:rsidRPr="009C016D" w:rsidRDefault="00EC02A3" w:rsidP="00EC02A3">
      <w:pPr>
        <w:jc w:val="center"/>
        <w:rPr>
          <w:rFonts w:ascii="Century Schoolbook" w:hAnsi="Century Schoolbook"/>
          <w:b/>
        </w:rPr>
      </w:pPr>
      <w:r w:rsidRPr="009C016D">
        <w:rPr>
          <w:rFonts w:ascii="Century Schoolbook" w:hAnsi="Century Schoolbook"/>
          <w:b/>
        </w:rPr>
        <w:t>FOR THE DISTRICT OF DELAWARE</w:t>
      </w:r>
    </w:p>
    <w:p w:rsidR="00EC02A3" w:rsidRPr="009C016D" w:rsidRDefault="00EC02A3" w:rsidP="00EC02A3">
      <w:pPr>
        <w:jc w:val="center"/>
        <w:rPr>
          <w:rFonts w:ascii="Century Schoolbook" w:hAnsi="Century Schoolbook"/>
          <w:b/>
        </w:rPr>
      </w:pPr>
    </w:p>
    <w:p w:rsidR="00EC02A3" w:rsidRPr="009C016D" w:rsidRDefault="00EC02A3" w:rsidP="00EC02A3">
      <w:pPr>
        <w:tabs>
          <w:tab w:val="left" w:pos="4680"/>
        </w:tabs>
        <w:rPr>
          <w:rFonts w:ascii="Century Schoolbook" w:hAnsi="Century Schoolbook"/>
        </w:rPr>
      </w:pPr>
      <w:r w:rsidRPr="009C016D">
        <w:rPr>
          <w:rFonts w:ascii="Century Schoolbook" w:hAnsi="Century Schoolbook"/>
        </w:rPr>
        <w:t>UNITED STATES OF AMERICA</w:t>
      </w:r>
      <w:r w:rsidRPr="009C016D">
        <w:rPr>
          <w:rFonts w:ascii="Century Schoolbook" w:hAnsi="Century Schoolbook"/>
        </w:rPr>
        <w:tab/>
        <w:t>)</w:t>
      </w:r>
    </w:p>
    <w:p w:rsidR="00EC02A3" w:rsidRPr="009C016D" w:rsidRDefault="00EC02A3" w:rsidP="00EC02A3">
      <w:pPr>
        <w:tabs>
          <w:tab w:val="left" w:pos="4680"/>
        </w:tabs>
        <w:rPr>
          <w:rFonts w:ascii="Century Schoolbook" w:hAnsi="Century Schoolbook"/>
        </w:rPr>
      </w:pPr>
      <w:r w:rsidRPr="009C016D">
        <w:rPr>
          <w:rFonts w:ascii="Century Schoolbook" w:hAnsi="Century Schoolbook"/>
        </w:rPr>
        <w:tab/>
        <w:t>)</w:t>
      </w:r>
      <w:r w:rsidRPr="009C016D">
        <w:rPr>
          <w:rFonts w:ascii="Century Schoolbook" w:hAnsi="Century Schoolbook"/>
        </w:rPr>
        <w:tab/>
      </w:r>
      <w:r w:rsidRPr="009C016D">
        <w:rPr>
          <w:rFonts w:ascii="Century Schoolbook" w:hAnsi="Century Schoolbook"/>
        </w:rPr>
        <w:tab/>
      </w:r>
      <w:r w:rsidRPr="009C016D">
        <w:rPr>
          <w:rFonts w:ascii="Century Schoolbook" w:hAnsi="Century Schoolbook"/>
        </w:rPr>
        <w:tab/>
      </w:r>
      <w:r w:rsidRPr="009C016D">
        <w:rPr>
          <w:rFonts w:ascii="Century Schoolbook" w:hAnsi="Century Schoolbook"/>
        </w:rPr>
        <w:tab/>
      </w:r>
      <w:r w:rsidRPr="009C016D">
        <w:rPr>
          <w:rFonts w:ascii="Century Schoolbook" w:hAnsi="Century Schoolbook"/>
        </w:rPr>
        <w:tab/>
      </w:r>
      <w:r w:rsidRPr="009C016D">
        <w:rPr>
          <w:rFonts w:ascii="Century Schoolbook" w:hAnsi="Century Schoolbook"/>
        </w:rPr>
        <w:tab/>
      </w:r>
    </w:p>
    <w:p w:rsidR="00EC02A3" w:rsidRPr="009C016D" w:rsidRDefault="00EC02A3" w:rsidP="00EC02A3">
      <w:pPr>
        <w:tabs>
          <w:tab w:val="left" w:pos="720"/>
          <w:tab w:val="left" w:pos="4680"/>
        </w:tabs>
        <w:rPr>
          <w:rFonts w:ascii="Century Schoolbook" w:hAnsi="Century Schoolbook"/>
        </w:rPr>
      </w:pPr>
      <w:r w:rsidRPr="009C016D">
        <w:rPr>
          <w:rFonts w:ascii="Century Schoolbook" w:hAnsi="Century Schoolbook"/>
        </w:rPr>
        <w:tab/>
        <w:t>v.</w:t>
      </w:r>
      <w:r w:rsidRPr="009C016D">
        <w:rPr>
          <w:rFonts w:ascii="Century Schoolbook" w:hAnsi="Century Schoolbook"/>
        </w:rPr>
        <w:tab/>
        <w:t>)</w:t>
      </w:r>
      <w:r w:rsidRPr="009C016D">
        <w:rPr>
          <w:rFonts w:ascii="Century Schoolbook" w:hAnsi="Century Schoolbook"/>
        </w:rPr>
        <w:tab/>
        <w:t xml:space="preserve">Criminal Action No. </w:t>
      </w:r>
    </w:p>
    <w:p w:rsidR="00EC02A3" w:rsidRPr="009C016D" w:rsidRDefault="00EC02A3" w:rsidP="00EC02A3">
      <w:pPr>
        <w:tabs>
          <w:tab w:val="left" w:pos="4680"/>
        </w:tabs>
        <w:rPr>
          <w:rFonts w:ascii="Century Schoolbook" w:hAnsi="Century Schoolbook"/>
        </w:rPr>
      </w:pPr>
      <w:r w:rsidRPr="009C016D">
        <w:rPr>
          <w:rFonts w:ascii="Century Schoolbook" w:hAnsi="Century Schoolbook"/>
        </w:rPr>
        <w:tab/>
        <w:t>)</w:t>
      </w:r>
      <w:r w:rsidRPr="009C016D">
        <w:rPr>
          <w:rFonts w:ascii="Century Schoolbook" w:hAnsi="Century Schoolbook"/>
        </w:rPr>
        <w:tab/>
      </w:r>
    </w:p>
    <w:p w:rsidR="00EC02A3" w:rsidRPr="009C016D" w:rsidRDefault="00EC02A3" w:rsidP="00EC02A3">
      <w:pPr>
        <w:tabs>
          <w:tab w:val="left" w:pos="4680"/>
        </w:tabs>
        <w:rPr>
          <w:rFonts w:ascii="Century Schoolbook" w:hAnsi="Century Schoolbook"/>
        </w:rPr>
      </w:pPr>
      <w:r w:rsidRPr="009C016D">
        <w:rPr>
          <w:rFonts w:ascii="Century Schoolbook" w:hAnsi="Century Schoolbook"/>
        </w:rPr>
        <w:t xml:space="preserve">PATRICK TITUS, </w:t>
      </w:r>
      <w:r w:rsidRPr="009C016D">
        <w:rPr>
          <w:rFonts w:ascii="Century Schoolbook" w:hAnsi="Century Schoolbook"/>
        </w:rPr>
        <w:tab/>
        <w:t>)</w:t>
      </w:r>
    </w:p>
    <w:p w:rsidR="00EC02A3" w:rsidRPr="009C016D" w:rsidRDefault="00EC02A3" w:rsidP="00EC02A3">
      <w:pPr>
        <w:tabs>
          <w:tab w:val="left" w:pos="4680"/>
        </w:tabs>
        <w:rPr>
          <w:rFonts w:ascii="Century Schoolbook" w:hAnsi="Century Schoolbook"/>
        </w:rPr>
      </w:pPr>
      <w:r w:rsidRPr="009C016D">
        <w:rPr>
          <w:rFonts w:ascii="Century Schoolbook" w:hAnsi="Century Schoolbook"/>
        </w:rPr>
        <w:tab/>
        <w:t>)</w:t>
      </w:r>
    </w:p>
    <w:p w:rsidR="00EC02A3" w:rsidRPr="009C016D" w:rsidRDefault="00EC02A3" w:rsidP="00EC02A3">
      <w:pPr>
        <w:tabs>
          <w:tab w:val="left" w:pos="720"/>
          <w:tab w:val="left" w:pos="4680"/>
        </w:tabs>
        <w:rPr>
          <w:rFonts w:ascii="Century Schoolbook" w:hAnsi="Century Schoolbook"/>
        </w:rPr>
      </w:pPr>
      <w:r w:rsidRPr="009C016D">
        <w:rPr>
          <w:rFonts w:ascii="Century Schoolbook" w:hAnsi="Century Schoolbook"/>
        </w:rPr>
        <w:tab/>
        <w:t>Defendant.</w:t>
      </w:r>
      <w:r w:rsidRPr="009C016D">
        <w:rPr>
          <w:rFonts w:ascii="Century Schoolbook" w:hAnsi="Century Schoolbook"/>
        </w:rPr>
        <w:tab/>
        <w:t>)</w:t>
      </w:r>
    </w:p>
    <w:p w:rsidR="00EC02A3" w:rsidRPr="009C016D" w:rsidRDefault="00EC02A3" w:rsidP="00EC02A3">
      <w:pPr>
        <w:jc w:val="center"/>
        <w:rPr>
          <w:rFonts w:ascii="Century Schoolbook" w:hAnsi="Century Schoolbook"/>
          <w:b/>
          <w:u w:val="single"/>
        </w:rPr>
      </w:pPr>
    </w:p>
    <w:p w:rsidR="00EC02A3" w:rsidRPr="009C016D" w:rsidRDefault="00EC02A3" w:rsidP="00EC02A3">
      <w:pPr>
        <w:jc w:val="center"/>
        <w:rPr>
          <w:rFonts w:ascii="Century Schoolbook" w:hAnsi="Century Schoolbook"/>
          <w:b/>
          <w:u w:val="single"/>
        </w:rPr>
      </w:pPr>
      <w:r w:rsidRPr="009C016D">
        <w:rPr>
          <w:rFonts w:ascii="Century Schoolbook" w:hAnsi="Century Schoolbook"/>
          <w:b/>
          <w:u w:val="single"/>
        </w:rPr>
        <w:t>INDICTMENT</w:t>
      </w:r>
    </w:p>
    <w:p w:rsidR="00EC02A3" w:rsidRPr="009C016D" w:rsidRDefault="00EC02A3" w:rsidP="00EC02A3">
      <w:pPr>
        <w:jc w:val="center"/>
        <w:rPr>
          <w:rFonts w:ascii="Century Schoolbook" w:hAnsi="Century Schoolbook"/>
          <w:b/>
          <w:u w:val="single"/>
        </w:rPr>
      </w:pPr>
    </w:p>
    <w:p w:rsidR="00EC02A3" w:rsidRPr="009C016D" w:rsidRDefault="00EC02A3" w:rsidP="00EC02A3">
      <w:pPr>
        <w:rPr>
          <w:rFonts w:ascii="Century Schoolbook" w:hAnsi="Century Schoolbook"/>
        </w:rPr>
      </w:pPr>
      <w:r w:rsidRPr="009C016D">
        <w:rPr>
          <w:rFonts w:ascii="Century Schoolbook" w:hAnsi="Century Schoolbook"/>
        </w:rPr>
        <w:tab/>
        <w:t>The Grand Jury for the District of Delaware charges that:</w:t>
      </w:r>
    </w:p>
    <w:p w:rsidR="00EC02A3" w:rsidRPr="009C016D" w:rsidRDefault="00EC02A3" w:rsidP="00EC02A3">
      <w:pPr>
        <w:rPr>
          <w:rFonts w:ascii="Century Schoolbook" w:hAnsi="Century Schoolbook"/>
          <w:b/>
          <w:u w:val="single"/>
        </w:rPr>
      </w:pPr>
    </w:p>
    <w:p w:rsidR="00EC02A3" w:rsidRPr="009C016D" w:rsidRDefault="00EC02A3" w:rsidP="003C0ED5">
      <w:pPr>
        <w:pStyle w:val="Heading1"/>
        <w:rPr>
          <w:rFonts w:ascii="Century Schoolbook" w:hAnsi="Century Schoolbook"/>
        </w:rPr>
      </w:pPr>
      <w:r w:rsidRPr="009C016D">
        <w:rPr>
          <w:rFonts w:ascii="Century Schoolbook" w:hAnsi="Century Schoolbook"/>
        </w:rPr>
        <w:t>Introduction</w:t>
      </w:r>
    </w:p>
    <w:p w:rsidR="00EC02A3" w:rsidRPr="009C016D" w:rsidRDefault="00EC02A3" w:rsidP="00EC02A3">
      <w:pPr>
        <w:jc w:val="center"/>
        <w:rPr>
          <w:rFonts w:ascii="Century Schoolbook" w:hAnsi="Century Schoolbook"/>
          <w:b/>
          <w:u w:val="single"/>
        </w:rPr>
      </w:pPr>
    </w:p>
    <w:p w:rsidR="00EC02A3" w:rsidRPr="009C016D" w:rsidRDefault="00EC02A3" w:rsidP="00EC02A3">
      <w:pPr>
        <w:spacing w:line="480" w:lineRule="auto"/>
        <w:ind w:left="720"/>
        <w:jc w:val="both"/>
        <w:rPr>
          <w:rFonts w:ascii="Century Schoolbook" w:hAnsi="Century Schoolbook"/>
        </w:rPr>
      </w:pPr>
      <w:r w:rsidRPr="009C016D">
        <w:rPr>
          <w:rFonts w:ascii="Century Schoolbook" w:hAnsi="Century Schoolbook"/>
        </w:rPr>
        <w:t xml:space="preserve">At all times material to this Indictment, unless otherwise specified:  </w:t>
      </w:r>
    </w:p>
    <w:p w:rsidR="00EC02A3" w:rsidRPr="009C016D" w:rsidRDefault="00EC02A3" w:rsidP="00EC02A3">
      <w:pPr>
        <w:pStyle w:val="ListParagraph"/>
        <w:rPr>
          <w:rFonts w:ascii="Century Schoolbook" w:hAnsi="Century Schoolbook"/>
        </w:rPr>
      </w:pPr>
      <w:r w:rsidRPr="009C016D">
        <w:rPr>
          <w:rFonts w:ascii="Century Schoolbook" w:hAnsi="Century Schoolbook"/>
        </w:rPr>
        <w:t xml:space="preserve">Defendant </w:t>
      </w:r>
      <w:r w:rsidRPr="009C016D">
        <w:rPr>
          <w:rFonts w:ascii="Century Schoolbook" w:hAnsi="Century Schoolbook"/>
          <w:b/>
        </w:rPr>
        <w:t>PATRICK TITUS</w:t>
      </w:r>
      <w:r w:rsidRPr="009C016D">
        <w:rPr>
          <w:rFonts w:ascii="Century Schoolbook" w:hAnsi="Century Schoolbook"/>
        </w:rPr>
        <w:t xml:space="preserve"> (“</w:t>
      </w:r>
      <w:r w:rsidRPr="009C016D">
        <w:rPr>
          <w:rFonts w:ascii="Century Schoolbook" w:hAnsi="Century Schoolbook"/>
          <w:b/>
        </w:rPr>
        <w:t>TITUS</w:t>
      </w:r>
      <w:r w:rsidRPr="009C016D">
        <w:rPr>
          <w:rFonts w:ascii="Century Schoolbook" w:hAnsi="Century Schoolbook"/>
        </w:rPr>
        <w:t>”) was a Medical Doctor licensed by the State of D</w:t>
      </w:r>
      <w:r w:rsidR="006C57D0" w:rsidRPr="009C016D">
        <w:rPr>
          <w:rFonts w:ascii="Century Schoolbook" w:hAnsi="Century Schoolbook"/>
        </w:rPr>
        <w:t>elaware to practice medicine and was board certified in Internal Medicine.  A</w:t>
      </w:r>
      <w:r w:rsidR="00EC4AC9" w:rsidRPr="009C016D">
        <w:rPr>
          <w:rFonts w:ascii="Century Schoolbook" w:hAnsi="Century Schoolbook"/>
        </w:rPr>
        <w:t>side from periods of suspension,</w:t>
      </w:r>
      <w:r w:rsidRPr="009C016D">
        <w:rPr>
          <w:rFonts w:ascii="Century Schoolbook" w:hAnsi="Century Schoolbook"/>
        </w:rPr>
        <w:t xml:space="preserve"> </w:t>
      </w:r>
      <w:r w:rsidR="006C57D0" w:rsidRPr="009C016D">
        <w:rPr>
          <w:rFonts w:ascii="Century Schoolbook" w:hAnsi="Century Schoolbook"/>
          <w:b/>
        </w:rPr>
        <w:t xml:space="preserve">TITUS </w:t>
      </w:r>
      <w:r w:rsidRPr="009C016D">
        <w:rPr>
          <w:rFonts w:ascii="Century Schoolbook" w:hAnsi="Century Schoolbook"/>
        </w:rPr>
        <w:t xml:space="preserve">maintained a Controlled Substance Registration and a DEA Registration Number.  </w:t>
      </w:r>
      <w:r w:rsidRPr="009C016D">
        <w:rPr>
          <w:rFonts w:ascii="Century Schoolbook" w:hAnsi="Century Schoolbook"/>
          <w:b/>
        </w:rPr>
        <w:t>TITUS</w:t>
      </w:r>
      <w:r w:rsidRPr="009C016D">
        <w:rPr>
          <w:rFonts w:ascii="Century Schoolbook" w:hAnsi="Century Schoolbook"/>
        </w:rPr>
        <w:t xml:space="preserve"> </w:t>
      </w:r>
      <w:r w:rsidR="00621922" w:rsidRPr="009C016D">
        <w:rPr>
          <w:rFonts w:ascii="Century Schoolbook" w:hAnsi="Century Schoolbook"/>
        </w:rPr>
        <w:t>operated a practice,</w:t>
      </w:r>
      <w:r w:rsidRPr="009C016D">
        <w:rPr>
          <w:rFonts w:ascii="Century Schoolbook" w:hAnsi="Century Schoolbook"/>
        </w:rPr>
        <w:t xml:space="preserve"> Lighthouse Internal Medicine, located in or around Milford, Delaware, within the District of Delaware, wh</w:t>
      </w:r>
      <w:r w:rsidR="00621922" w:rsidRPr="009C016D">
        <w:rPr>
          <w:rFonts w:ascii="Century Schoolbook" w:hAnsi="Century Schoolbook"/>
        </w:rPr>
        <w:t xml:space="preserve">ere he conducted his practice.  </w:t>
      </w:r>
    </w:p>
    <w:p w:rsidR="00EC02A3" w:rsidRPr="009C016D" w:rsidRDefault="00EC02A3" w:rsidP="00EC02A3">
      <w:pPr>
        <w:pStyle w:val="ListParagraph"/>
        <w:rPr>
          <w:rFonts w:ascii="Century Schoolbook" w:hAnsi="Century Schoolbook"/>
        </w:rPr>
      </w:pPr>
      <w:r w:rsidRPr="009C016D">
        <w:rPr>
          <w:rFonts w:ascii="Century Schoolbook" w:hAnsi="Century Schoolbook"/>
          <w:lang w:val="en-CA"/>
        </w:rPr>
        <w:fldChar w:fldCharType="begin"/>
      </w:r>
      <w:r w:rsidRPr="009C016D">
        <w:rPr>
          <w:rFonts w:ascii="Century Schoolbook" w:hAnsi="Century Schoolbook"/>
          <w:lang w:val="en-CA"/>
        </w:rPr>
        <w:instrText xml:space="preserve"> SEQ CHAPTER \h \r 1</w:instrText>
      </w:r>
      <w:r w:rsidRPr="009C016D">
        <w:rPr>
          <w:rFonts w:ascii="Century Schoolbook" w:hAnsi="Century Schoolbook"/>
          <w:lang w:val="en-CA"/>
        </w:rPr>
        <w:fldChar w:fldCharType="end"/>
      </w:r>
      <w:r w:rsidRPr="009C016D">
        <w:rPr>
          <w:rFonts w:ascii="Century Schoolbook" w:hAnsi="Century Schoolbook"/>
        </w:rPr>
        <w:t>The Controlled Substances Act (</w:t>
      </w:r>
      <w:r w:rsidR="00621922" w:rsidRPr="009C016D">
        <w:rPr>
          <w:rFonts w:ascii="Century Schoolbook" w:hAnsi="Century Schoolbook"/>
        </w:rPr>
        <w:t>“</w:t>
      </w:r>
      <w:r w:rsidRPr="009C016D">
        <w:rPr>
          <w:rFonts w:ascii="Century Schoolbook" w:hAnsi="Century Schoolbook"/>
        </w:rPr>
        <w:t>CSA</w:t>
      </w:r>
      <w:r w:rsidR="00621922" w:rsidRPr="009C016D">
        <w:rPr>
          <w:rFonts w:ascii="Century Schoolbook" w:hAnsi="Century Schoolbook"/>
        </w:rPr>
        <w:t>”</w:t>
      </w:r>
      <w:r w:rsidRPr="009C016D">
        <w:rPr>
          <w:rFonts w:ascii="Century Schoolbook" w:hAnsi="Century Schoolbook"/>
        </w:rPr>
        <w:t xml:space="preserve">) governed the manufacture, distribution, and dispensing of controlled substances in the United States.  With limited exceptions for medical professionals, the CSA made it unlawful for any person to knowingly or intentionally manufacture, distribute, or dispense a controlled substance or conspire to do so. </w:t>
      </w:r>
    </w:p>
    <w:p w:rsidR="00EC02A3" w:rsidRPr="009C016D" w:rsidRDefault="00EC02A3" w:rsidP="00EC02A3">
      <w:pPr>
        <w:pStyle w:val="ListParagraph"/>
        <w:rPr>
          <w:rFonts w:ascii="Century Schoolbook" w:hAnsi="Century Schoolbook"/>
        </w:rPr>
      </w:pPr>
      <w:r w:rsidRPr="009C016D">
        <w:rPr>
          <w:rFonts w:ascii="Century Schoolbook" w:hAnsi="Century Schoolbook"/>
        </w:rPr>
        <w:t xml:space="preserve">  The CSA and its implementing regulations set forth which drugs and other substances are defined by law as “controlled substances,” and assigned those </w:t>
      </w:r>
      <w:r w:rsidRPr="009C016D">
        <w:rPr>
          <w:rFonts w:ascii="Century Schoolbook" w:hAnsi="Century Schoolbook"/>
        </w:rPr>
        <w:lastRenderedPageBreak/>
        <w:t>controlled subst</w:t>
      </w:r>
      <w:r w:rsidR="00621922" w:rsidRPr="009C016D">
        <w:rPr>
          <w:rFonts w:ascii="Century Schoolbook" w:hAnsi="Century Schoolbook"/>
        </w:rPr>
        <w:t>ances to one of five schedules—Schedule I, II, III, IV, or V—</w:t>
      </w:r>
      <w:r w:rsidRPr="009C016D">
        <w:rPr>
          <w:rFonts w:ascii="Century Schoolbook" w:hAnsi="Century Schoolbook"/>
        </w:rPr>
        <w:t>depending on their potential for abuse, likelihood of physical or psychological dependency, accepted medical use, and accepted safety for use under medical supervision.</w:t>
      </w:r>
      <w:r w:rsidR="00621922" w:rsidRPr="009C016D">
        <w:rPr>
          <w:rFonts w:ascii="Century Schoolbook" w:hAnsi="Century Schoolbook"/>
        </w:rPr>
        <w:t xml:space="preserve">  </w:t>
      </w:r>
    </w:p>
    <w:p w:rsidR="00EC02A3" w:rsidRPr="009C016D" w:rsidRDefault="00EC02A3" w:rsidP="00EC02A3">
      <w:pPr>
        <w:pStyle w:val="ListParagraph"/>
        <w:rPr>
          <w:rFonts w:ascii="Century Schoolbook" w:hAnsi="Century Schoolbook"/>
        </w:rPr>
      </w:pPr>
      <w:r w:rsidRPr="009C016D">
        <w:rPr>
          <w:rFonts w:ascii="Century Schoolbook" w:hAnsi="Century Schoolbook"/>
        </w:rPr>
        <w:t xml:space="preserve"> A controlled substance assigned to Schedule II meant that the drug had a high potential for abuse, </w:t>
      </w:r>
      <w:r w:rsidR="00621922" w:rsidRPr="009C016D">
        <w:rPr>
          <w:rFonts w:ascii="Century Schoolbook" w:hAnsi="Century Schoolbook"/>
        </w:rPr>
        <w:t xml:space="preserve">was highly addictive, and that </w:t>
      </w:r>
      <w:r w:rsidRPr="009C016D">
        <w:rPr>
          <w:rFonts w:ascii="Century Schoolbook" w:hAnsi="Century Schoolbook"/>
        </w:rPr>
        <w:t xml:space="preserve">the drug had a currently accepted medical use in treatment in the United States or a currently accepted medical use with severe restrictions.  </w:t>
      </w:r>
      <w:r w:rsidR="00621922" w:rsidRPr="009C016D">
        <w:rPr>
          <w:rFonts w:ascii="Century Schoolbook" w:hAnsi="Century Schoolbook"/>
        </w:rPr>
        <w:t xml:space="preserve">Abuse of a Schedule II controlled substance could lead to severe psychological and/or physical dependence.  </w:t>
      </w:r>
    </w:p>
    <w:p w:rsidR="00621922" w:rsidRPr="009C016D" w:rsidRDefault="00621922" w:rsidP="00621922">
      <w:pPr>
        <w:pStyle w:val="ListParagraph"/>
        <w:rPr>
          <w:rFonts w:ascii="Century Schoolbook" w:hAnsi="Century Schoolbook"/>
        </w:rPr>
      </w:pPr>
      <w:r w:rsidRPr="009C016D">
        <w:rPr>
          <w:rFonts w:ascii="Century Schoolbook" w:hAnsi="Century Schoolbook"/>
        </w:rPr>
        <w:t>Pursuant to the CSA and its implementing regulations:</w:t>
      </w:r>
    </w:p>
    <w:p w:rsidR="00621922" w:rsidRPr="009C016D" w:rsidRDefault="00621922" w:rsidP="00DC3F5D">
      <w:pPr>
        <w:pStyle w:val="ListParagraph"/>
        <w:numPr>
          <w:ilvl w:val="1"/>
          <w:numId w:val="1"/>
        </w:numPr>
        <w:ind w:left="720" w:firstLine="720"/>
        <w:rPr>
          <w:rFonts w:ascii="Century Schoolbook" w:hAnsi="Century Schoolbook"/>
        </w:rPr>
      </w:pPr>
      <w:r w:rsidRPr="009C016D">
        <w:rPr>
          <w:rFonts w:ascii="Century Schoolbook" w:hAnsi="Century Schoolbook"/>
        </w:rPr>
        <w:t>Oxycodone was classified as a Schedule II controlled substance.  Oxycodone was sold generically and under a variety of brand names, including OxyContin</w:t>
      </w:r>
      <w:r w:rsidR="00CC253D" w:rsidRPr="009C016D">
        <w:rPr>
          <w:rFonts w:ascii="Century Schoolbook" w:hAnsi="Century Schoolbook"/>
          <w:vertAlign w:val="superscript"/>
        </w:rPr>
        <w:t>®</w:t>
      </w:r>
      <w:r w:rsidRPr="009C016D">
        <w:rPr>
          <w:rFonts w:ascii="Century Schoolbook" w:hAnsi="Century Schoolbook"/>
        </w:rPr>
        <w:t>,</w:t>
      </w:r>
      <w:r w:rsidR="00CC253D" w:rsidRPr="009C016D">
        <w:rPr>
          <w:rFonts w:ascii="Century Schoolbook" w:hAnsi="Century Schoolbook"/>
        </w:rPr>
        <w:t xml:space="preserve"> </w:t>
      </w:r>
      <w:r w:rsidRPr="009C016D">
        <w:rPr>
          <w:rFonts w:ascii="Century Schoolbook" w:hAnsi="Century Schoolbook"/>
        </w:rPr>
        <w:t>Roxicodone</w:t>
      </w:r>
      <w:r w:rsidR="00CC253D" w:rsidRPr="009C016D">
        <w:rPr>
          <w:rFonts w:ascii="Century Schoolbook" w:hAnsi="Century Schoolbook"/>
          <w:vertAlign w:val="superscript"/>
        </w:rPr>
        <w:t>®</w:t>
      </w:r>
      <w:r w:rsidR="00CC253D" w:rsidRPr="009C016D">
        <w:rPr>
          <w:rFonts w:ascii="Century Schoolbook" w:hAnsi="Century Schoolbook"/>
        </w:rPr>
        <w:t>, Endocet</w:t>
      </w:r>
      <w:r w:rsidR="00CC253D" w:rsidRPr="009C016D">
        <w:rPr>
          <w:rFonts w:ascii="Century Schoolbook" w:hAnsi="Century Schoolbook"/>
          <w:vertAlign w:val="superscript"/>
        </w:rPr>
        <w:t>®</w:t>
      </w:r>
      <w:r w:rsidR="00CC253D" w:rsidRPr="009C016D">
        <w:rPr>
          <w:rFonts w:ascii="Century Schoolbook" w:hAnsi="Century Schoolbook"/>
        </w:rPr>
        <w:t>, and Vicodin</w:t>
      </w:r>
      <w:r w:rsidR="00CC253D" w:rsidRPr="009C016D">
        <w:rPr>
          <w:rFonts w:ascii="Century Schoolbook" w:hAnsi="Century Schoolbook"/>
          <w:vertAlign w:val="superscript"/>
        </w:rPr>
        <w:t>®</w:t>
      </w:r>
      <w:r w:rsidR="00CC253D" w:rsidRPr="009C016D">
        <w:rPr>
          <w:rFonts w:ascii="Century Schoolbook" w:hAnsi="Century Schoolbook"/>
        </w:rPr>
        <w:t>.</w:t>
      </w:r>
    </w:p>
    <w:p w:rsidR="00621922" w:rsidRPr="009C016D" w:rsidRDefault="00621922" w:rsidP="00DC3F5D">
      <w:pPr>
        <w:pStyle w:val="ListParagraph"/>
        <w:numPr>
          <w:ilvl w:val="1"/>
          <w:numId w:val="1"/>
        </w:numPr>
        <w:ind w:left="720" w:firstLine="720"/>
        <w:rPr>
          <w:rFonts w:ascii="Century Schoolbook" w:hAnsi="Century Schoolbook"/>
        </w:rPr>
      </w:pPr>
      <w:r w:rsidRPr="009C016D">
        <w:rPr>
          <w:rFonts w:ascii="Century Schoolbook" w:hAnsi="Century Schoolbook"/>
        </w:rPr>
        <w:t xml:space="preserve">Morphine was classified as a Schedule II controlled substance.  It was an opioid pain medication.  </w:t>
      </w:r>
    </w:p>
    <w:p w:rsidR="00621922" w:rsidRPr="009C016D" w:rsidRDefault="00621922" w:rsidP="00DC3F5D">
      <w:pPr>
        <w:pStyle w:val="ListParagraph"/>
        <w:numPr>
          <w:ilvl w:val="1"/>
          <w:numId w:val="1"/>
        </w:numPr>
        <w:ind w:left="720" w:firstLine="720"/>
        <w:rPr>
          <w:rFonts w:ascii="Century Schoolbook" w:hAnsi="Century Schoolbook"/>
        </w:rPr>
      </w:pPr>
      <w:r w:rsidRPr="009C016D">
        <w:rPr>
          <w:rFonts w:ascii="Century Schoolbook" w:hAnsi="Century Schoolbook"/>
        </w:rPr>
        <w:t xml:space="preserve">Methadone was a synthetic opioid that contains methadone hydrochloride, a Schedule II controlled substance.  Methadone was roughly twice as potent as Morphine in a single dose, </w:t>
      </w:r>
      <w:r w:rsidR="00EC4AC9" w:rsidRPr="009C016D">
        <w:rPr>
          <w:rFonts w:ascii="Century Schoolbook" w:hAnsi="Century Schoolbook"/>
        </w:rPr>
        <w:t>and</w:t>
      </w:r>
      <w:r w:rsidRPr="009C016D">
        <w:rPr>
          <w:rFonts w:ascii="Century Schoolbook" w:hAnsi="Century Schoolbook"/>
        </w:rPr>
        <w:t xml:space="preserve"> becomes </w:t>
      </w:r>
      <w:r w:rsidR="00EC4AC9" w:rsidRPr="009C016D">
        <w:rPr>
          <w:rFonts w:ascii="Century Schoolbook" w:hAnsi="Century Schoolbook"/>
        </w:rPr>
        <w:t xml:space="preserve">even </w:t>
      </w:r>
      <w:r w:rsidRPr="009C016D">
        <w:rPr>
          <w:rFonts w:ascii="Century Schoolbook" w:hAnsi="Century Schoolbook"/>
        </w:rPr>
        <w:t>more potent than Morphine when it accumulates in the body.  In chronic users of high-dose opioids, Methadone may be ten times as potent as the Morphine equivalent.</w:t>
      </w:r>
    </w:p>
    <w:p w:rsidR="00621922" w:rsidRPr="009C016D" w:rsidRDefault="00621922" w:rsidP="00DC3F5D">
      <w:pPr>
        <w:pStyle w:val="ListParagraph"/>
        <w:numPr>
          <w:ilvl w:val="1"/>
          <w:numId w:val="1"/>
        </w:numPr>
        <w:ind w:left="720" w:firstLine="720"/>
        <w:rPr>
          <w:rFonts w:ascii="Century Schoolbook" w:hAnsi="Century Schoolbook"/>
        </w:rPr>
      </w:pPr>
      <w:r w:rsidRPr="009C016D">
        <w:rPr>
          <w:rFonts w:ascii="Century Schoolbook" w:hAnsi="Century Schoolbook"/>
        </w:rPr>
        <w:t xml:space="preserve">Fentanyl is a Schedule II narcotic </w:t>
      </w:r>
      <w:r w:rsidR="00EC4AC9" w:rsidRPr="009C016D">
        <w:rPr>
          <w:rFonts w:ascii="Century Schoolbook" w:hAnsi="Century Schoolbook"/>
        </w:rPr>
        <w:t xml:space="preserve">opioid </w:t>
      </w:r>
      <w:r w:rsidRPr="009C016D">
        <w:rPr>
          <w:rFonts w:ascii="Century Schoolbook" w:hAnsi="Century Schoolbook"/>
        </w:rPr>
        <w:t>pain medication that may become</w:t>
      </w:r>
      <w:r w:rsidR="00EC4AC9" w:rsidRPr="009C016D">
        <w:rPr>
          <w:rFonts w:ascii="Century Schoolbook" w:hAnsi="Century Schoolbook"/>
        </w:rPr>
        <w:t xml:space="preserve"> habit-forming.  Fenantyl is 70 to </w:t>
      </w:r>
      <w:r w:rsidRPr="009C016D">
        <w:rPr>
          <w:rFonts w:ascii="Century Schoolbook" w:hAnsi="Century Schoolbook"/>
        </w:rPr>
        <w:t xml:space="preserve">100 times as potent as Morphine.  </w:t>
      </w:r>
      <w:r w:rsidRPr="009C016D">
        <w:rPr>
          <w:rFonts w:ascii="Century Schoolbook" w:hAnsi="Century Schoolbook"/>
        </w:rPr>
        <w:lastRenderedPageBreak/>
        <w:t xml:space="preserve">A Fentanyl transdermal system (Fentanyl patch) contains a high concentration of the potent Schedule II opioid agonist, Fentanyl.  </w:t>
      </w:r>
    </w:p>
    <w:p w:rsidR="00621922" w:rsidRPr="009C016D" w:rsidRDefault="00DC3F5D" w:rsidP="00DC3F5D">
      <w:pPr>
        <w:pStyle w:val="ListParagraph"/>
        <w:numPr>
          <w:ilvl w:val="1"/>
          <w:numId w:val="1"/>
        </w:numPr>
        <w:ind w:left="720" w:firstLine="720"/>
        <w:rPr>
          <w:rFonts w:ascii="Century Schoolbook" w:hAnsi="Century Schoolbook"/>
        </w:rPr>
      </w:pPr>
      <w:r w:rsidRPr="009C016D">
        <w:rPr>
          <w:rFonts w:ascii="Century Schoolbook" w:hAnsi="Century Schoolbook"/>
        </w:rPr>
        <w:t xml:space="preserve">Morphine, Methadone, Oxycodone, and Fentanyl are among the Schedule II opioid controlled substances that have the highest potential for abuse and associated risk of fatal overdose.  </w:t>
      </w:r>
    </w:p>
    <w:p w:rsidR="00DC3F5D" w:rsidRPr="009C016D" w:rsidRDefault="00EC02A3" w:rsidP="00EC02A3">
      <w:pPr>
        <w:pStyle w:val="ListParagraph"/>
        <w:rPr>
          <w:rFonts w:ascii="Century Schoolbook" w:hAnsi="Century Schoolbook"/>
        </w:rPr>
      </w:pPr>
      <w:r w:rsidRPr="009C016D">
        <w:rPr>
          <w:rFonts w:ascii="Century Schoolbook" w:hAnsi="Century Schoolbook"/>
          <w:lang w:val="en-CA"/>
        </w:rPr>
        <w:fldChar w:fldCharType="begin"/>
      </w:r>
      <w:r w:rsidRPr="009C016D">
        <w:rPr>
          <w:rFonts w:ascii="Century Schoolbook" w:hAnsi="Century Schoolbook"/>
          <w:lang w:val="en-CA"/>
        </w:rPr>
        <w:instrText xml:space="preserve"> SEQ CHAPTER \h \r 1</w:instrText>
      </w:r>
      <w:r w:rsidRPr="009C016D">
        <w:rPr>
          <w:rFonts w:ascii="Century Schoolbook" w:hAnsi="Century Schoolbook"/>
          <w:lang w:val="en-CA"/>
        </w:rPr>
        <w:fldChar w:fldCharType="end"/>
      </w:r>
      <w:r w:rsidRPr="009C016D">
        <w:rPr>
          <w:rFonts w:ascii="Century Schoolbook" w:hAnsi="Century Schoolbook"/>
        </w:rPr>
        <w:t xml:space="preserve">Medical practitioners, such as physicians, who were authorized to prescribe controlled substances by the jurisdiction in which they were licensed to practice medicine were authorized under the CSA to prescribe, or otherwise distribute, controlled substances, if they were registered with the Attorney General of the United States.  21 U.S.C. § 822(b); 21 C.F.R. § 1306.03.  </w:t>
      </w:r>
    </w:p>
    <w:p w:rsidR="00DC3F5D" w:rsidRPr="009C016D" w:rsidRDefault="00EC02A3" w:rsidP="00EC02A3">
      <w:pPr>
        <w:pStyle w:val="ListParagraph"/>
        <w:rPr>
          <w:rFonts w:ascii="Century Schoolbook" w:hAnsi="Century Schoolbook"/>
        </w:rPr>
      </w:pPr>
      <w:r w:rsidRPr="009C016D">
        <w:rPr>
          <w:rFonts w:ascii="Century Schoolbook" w:hAnsi="Century Schoolbook"/>
        </w:rPr>
        <w:t xml:space="preserve">Upon application by the practitioner, the Drug Enforcement Administration (DEA) assigned a unique registration number to each qualifying medical practitioner including physicians and nurse practitioners.  </w:t>
      </w:r>
    </w:p>
    <w:p w:rsidR="00EC02A3" w:rsidRPr="009C016D" w:rsidRDefault="00EC02A3" w:rsidP="00EC02A3">
      <w:pPr>
        <w:pStyle w:val="ListParagraph"/>
        <w:rPr>
          <w:rFonts w:ascii="Century Schoolbook" w:hAnsi="Century Schoolbook"/>
        </w:rPr>
      </w:pPr>
      <w:r w:rsidRPr="009C016D">
        <w:rPr>
          <w:rFonts w:ascii="Century Schoolbook" w:hAnsi="Century Schoolbook"/>
        </w:rPr>
        <w:t>Chapter 21 of the Code of Federal Regulations Section 1306.04 governed the issuance of prescriptions and provided, among other things, that a prescription for a controlled substance “must be issued for a legitimate medical purpose by an individual practitioner acting in the usual course of his professional practice.”  Moreover, “[a]n order purporting to be a prescription issued not in the usual course of professional treatment . . . is not a prescription within the meaning and intent of [the CSA] and the person knowingly filling such a purported prescription, as well as the person issuing it, shall be subject to the penalties provided for violations of the provisions of law relating to controlled substances.”</w:t>
      </w:r>
    </w:p>
    <w:p w:rsidR="00EC02A3" w:rsidRPr="009C016D" w:rsidRDefault="00EC02A3" w:rsidP="00EC02A3">
      <w:pPr>
        <w:pStyle w:val="ListParagraph"/>
        <w:rPr>
          <w:rFonts w:ascii="Century Schoolbook" w:hAnsi="Century Schoolbook"/>
        </w:rPr>
      </w:pPr>
      <w:r w:rsidRPr="009C016D">
        <w:rPr>
          <w:rFonts w:ascii="Century Schoolbook" w:hAnsi="Century Schoolbook"/>
        </w:rPr>
        <w:lastRenderedPageBreak/>
        <w:t>All prescriptions for controlled substances had to be “dated as of, and signed on, the day when issued and shall bear the full name and address of the patient, the drug name, strength, dosage form, quantity prescribed, directions for use, and the name, address and registration number of the practitioner.”  21 C.F.R. § 1306.05(a). “The refilling of a prescription for a controlled substance listed in Schedule II is prohibited.”  21 C.F.R. § 1306.12(a); 21 U.S.C. § 829(a).</w:t>
      </w:r>
    </w:p>
    <w:p w:rsidR="00EC4AC9" w:rsidRPr="009C016D" w:rsidRDefault="009B613D" w:rsidP="00EC02A3">
      <w:pPr>
        <w:pStyle w:val="ListParagraph"/>
        <w:rPr>
          <w:rFonts w:ascii="Century Schoolbook" w:hAnsi="Century Schoolbook"/>
        </w:rPr>
      </w:pPr>
      <w:r w:rsidRPr="009C016D">
        <w:rPr>
          <w:rFonts w:ascii="Century Schoolbook" w:hAnsi="Century Schoolbook"/>
        </w:rPr>
        <w:t xml:space="preserve">The Delaware Controlled Substances Act, </w:t>
      </w:r>
      <w:r w:rsidR="006C7ACC" w:rsidRPr="009C016D">
        <w:rPr>
          <w:rFonts w:ascii="Century Schoolbook" w:hAnsi="Century Schoolbook"/>
        </w:rPr>
        <w:t xml:space="preserve">Chapter 47 of the Delaware Health and Safety Code, Title 16, requires </w:t>
      </w:r>
      <w:r w:rsidRPr="009C016D">
        <w:rPr>
          <w:rFonts w:ascii="Century Schoolbook" w:hAnsi="Century Schoolbook"/>
        </w:rPr>
        <w:t>practitioners, including physicians,</w:t>
      </w:r>
      <w:r w:rsidR="006C7ACC" w:rsidRPr="009C016D">
        <w:rPr>
          <w:rFonts w:ascii="Century Schoolbook" w:hAnsi="Century Schoolbook"/>
        </w:rPr>
        <w:t xml:space="preserve"> to </w:t>
      </w:r>
      <w:r w:rsidRPr="009C016D">
        <w:rPr>
          <w:rFonts w:ascii="Century Schoolbook" w:hAnsi="Century Schoolbook"/>
        </w:rPr>
        <w:t>maintain a</w:t>
      </w:r>
      <w:r w:rsidR="006C7ACC" w:rsidRPr="009C016D">
        <w:rPr>
          <w:rFonts w:ascii="Century Schoolbook" w:hAnsi="Century Schoolbook"/>
        </w:rPr>
        <w:t xml:space="preserve"> Controlled Substance Registration (“CSR”) to prescribe </w:t>
      </w:r>
      <w:r w:rsidRPr="009C016D">
        <w:rPr>
          <w:rFonts w:ascii="Century Schoolbook" w:hAnsi="Century Schoolbook"/>
        </w:rPr>
        <w:t>controlled substances legally</w:t>
      </w:r>
      <w:r w:rsidR="006C7ACC" w:rsidRPr="009C016D">
        <w:rPr>
          <w:rFonts w:ascii="Century Schoolbook" w:hAnsi="Century Schoolbook"/>
        </w:rPr>
        <w:t>.</w:t>
      </w:r>
      <w:r w:rsidR="00423FBD" w:rsidRPr="009C016D">
        <w:rPr>
          <w:rFonts w:ascii="Century Schoolbook" w:hAnsi="Century Schoolbook"/>
        </w:rPr>
        <w:t xml:space="preserve">  </w:t>
      </w:r>
      <w:r w:rsidR="00DC098D" w:rsidRPr="009C016D">
        <w:rPr>
          <w:rFonts w:ascii="Century Schoolbook" w:hAnsi="Century Schoolbook"/>
        </w:rPr>
        <w:t>The</w:t>
      </w:r>
      <w:r w:rsidR="00EC4AC9" w:rsidRPr="009C016D">
        <w:rPr>
          <w:rFonts w:ascii="Century Schoolbook" w:hAnsi="Century Schoolbook"/>
        </w:rPr>
        <w:t xml:space="preserve"> Uniform Controlled Substance Act Regulations</w:t>
      </w:r>
      <w:r w:rsidR="00DC098D" w:rsidRPr="009C016D">
        <w:rPr>
          <w:rFonts w:ascii="Century Schoolbook" w:hAnsi="Century Schoolbook"/>
        </w:rPr>
        <w:t xml:space="preserve"> are the</w:t>
      </w:r>
      <w:r w:rsidR="00EC4AC9" w:rsidRPr="009C016D">
        <w:rPr>
          <w:rFonts w:ascii="Century Schoolbook" w:hAnsi="Century Schoolbook"/>
        </w:rPr>
        <w:t xml:space="preserve"> implementing regulation</w:t>
      </w:r>
      <w:r w:rsidR="00DC098D" w:rsidRPr="009C016D">
        <w:rPr>
          <w:rFonts w:ascii="Century Schoolbook" w:hAnsi="Century Schoolbook"/>
        </w:rPr>
        <w:t>s</w:t>
      </w:r>
      <w:r w:rsidR="00EC4AC9" w:rsidRPr="009C016D">
        <w:rPr>
          <w:rFonts w:ascii="Century Schoolbook" w:hAnsi="Century Schoolbook"/>
        </w:rPr>
        <w:t xml:space="preserve"> that define</w:t>
      </w:r>
      <w:r w:rsidR="00DC098D" w:rsidRPr="009C016D">
        <w:rPr>
          <w:rFonts w:ascii="Century Schoolbook" w:hAnsi="Century Schoolbook"/>
        </w:rPr>
        <w:t xml:space="preserve"> the authority of practitioners, including </w:t>
      </w:r>
      <w:r w:rsidR="00EC4AC9" w:rsidRPr="009C016D">
        <w:rPr>
          <w:rFonts w:ascii="Century Schoolbook" w:hAnsi="Century Schoolbook"/>
        </w:rPr>
        <w:t>physician</w:t>
      </w:r>
      <w:r w:rsidR="00DC098D" w:rsidRPr="009C016D">
        <w:rPr>
          <w:rFonts w:ascii="Century Schoolbook" w:hAnsi="Century Schoolbook"/>
        </w:rPr>
        <w:t>s</w:t>
      </w:r>
      <w:r w:rsidR="00EC4AC9" w:rsidRPr="009C016D">
        <w:rPr>
          <w:rFonts w:ascii="Century Schoolbook" w:hAnsi="Century Schoolbook"/>
        </w:rPr>
        <w:t xml:space="preserve">, licensed to prescribe, dispense, or store controlled substances in the course of professional practice.  </w:t>
      </w:r>
      <w:r w:rsidR="00DC098D" w:rsidRPr="009C016D">
        <w:rPr>
          <w:rFonts w:ascii="Century Schoolbook" w:hAnsi="Century Schoolbook"/>
        </w:rPr>
        <w:t>The regulations provide</w:t>
      </w:r>
      <w:r w:rsidR="00EC4AC9" w:rsidRPr="009C016D">
        <w:rPr>
          <w:rFonts w:ascii="Century Schoolbook" w:hAnsi="Century Schoolbook"/>
        </w:rPr>
        <w:t xml:space="preserve"> the minimum standards that shall be followed when issuing a prescription for a controlled substance</w:t>
      </w:r>
      <w:r w:rsidR="007C775D" w:rsidRPr="009C016D">
        <w:rPr>
          <w:rFonts w:ascii="Century Schoolbook" w:hAnsi="Century Schoolbook"/>
        </w:rPr>
        <w:t xml:space="preserve">.  </w:t>
      </w:r>
      <w:r w:rsidR="00EC4AC9" w:rsidRPr="009C016D">
        <w:rPr>
          <w:rFonts w:ascii="Century Schoolbook" w:hAnsi="Century Schoolbook"/>
        </w:rPr>
        <w:t xml:space="preserve">  </w:t>
      </w:r>
    </w:p>
    <w:p w:rsidR="004976F4" w:rsidRPr="009C016D" w:rsidRDefault="004976F4" w:rsidP="00EC02A3">
      <w:pPr>
        <w:pStyle w:val="ListParagraph"/>
        <w:rPr>
          <w:rFonts w:ascii="Century Schoolbook" w:hAnsi="Century Schoolbook"/>
        </w:rPr>
      </w:pPr>
      <w:r w:rsidRPr="009C016D">
        <w:rPr>
          <w:rFonts w:ascii="Century Schoolbook" w:hAnsi="Century Schoolbook"/>
        </w:rPr>
        <w:t xml:space="preserve">As a Medical Doctor, </w:t>
      </w:r>
      <w:r w:rsidRPr="009C016D">
        <w:rPr>
          <w:rFonts w:ascii="Century Schoolbook" w:hAnsi="Century Schoolbook"/>
          <w:b/>
        </w:rPr>
        <w:t>TITUS</w:t>
      </w:r>
      <w:r w:rsidR="007C775D" w:rsidRPr="009C016D">
        <w:rPr>
          <w:rFonts w:ascii="Century Schoolbook" w:hAnsi="Century Schoolbook"/>
        </w:rPr>
        <w:t xml:space="preserve"> was authorized to prescribe</w:t>
      </w:r>
      <w:r w:rsidRPr="009C016D">
        <w:rPr>
          <w:rFonts w:ascii="Century Schoolbook" w:hAnsi="Century Schoolbook"/>
        </w:rPr>
        <w:t xml:space="preserve"> to patients Schedule II controlled substances and to prescribe medicine to patients, including controlled substances, for legitimate medical purposes and in the usual course of professional practice.  Many of the prescriptions </w:t>
      </w:r>
      <w:r w:rsidRPr="009C016D">
        <w:rPr>
          <w:rFonts w:ascii="Century Schoolbook" w:hAnsi="Century Schoolbook"/>
          <w:b/>
        </w:rPr>
        <w:t>TITUS</w:t>
      </w:r>
      <w:r w:rsidRPr="009C016D">
        <w:rPr>
          <w:rFonts w:ascii="Century Schoolbook" w:hAnsi="Century Schoolbook"/>
        </w:rPr>
        <w:t xml:space="preserve"> issued were not issued for a legitimate medical purpose and were not issued in the usual course of professional practice. </w:t>
      </w:r>
    </w:p>
    <w:p w:rsidR="007A0640" w:rsidRPr="009C016D" w:rsidRDefault="007A0640" w:rsidP="007A0640">
      <w:pPr>
        <w:pStyle w:val="ListParagraph"/>
        <w:rPr>
          <w:rFonts w:ascii="Century Schoolbook" w:hAnsi="Century Schoolbook"/>
          <w:b/>
          <w:u w:val="single"/>
        </w:rPr>
      </w:pPr>
      <w:r w:rsidRPr="009C016D">
        <w:rPr>
          <w:rFonts w:ascii="Century Schoolbook" w:hAnsi="Century Schoolbook"/>
        </w:rPr>
        <w:t xml:space="preserve">A prescription monitoring program (“PMP”) report contains prescription data for all Schedule II controlled substances dispensed by pharmacies in the State </w:t>
      </w:r>
      <w:r w:rsidRPr="009C016D">
        <w:rPr>
          <w:rFonts w:ascii="Century Schoolbook" w:hAnsi="Century Schoolbook"/>
        </w:rPr>
        <w:lastRenderedPageBreak/>
        <w:t xml:space="preserve">of Delaware, the State of New Jersey, and the State of Maryland.  Pharmacies are required by law in Delaware, New Jersey, and Maryland, among other states, to report the patient’s name, the particular Schedule II controlled substance and dosage dispensed, quantity dispensed, number of days supplied, prescribing physician’s name, date the prescription was issued, dispensing pharmacy’s name, and the date dispensed. </w:t>
      </w:r>
    </w:p>
    <w:p w:rsidR="0008400E" w:rsidRPr="009C016D" w:rsidRDefault="0008400E" w:rsidP="0008400E">
      <w:pPr>
        <w:pStyle w:val="Heading1"/>
        <w:rPr>
          <w:rFonts w:ascii="Century Schoolbook" w:hAnsi="Century Schoolbook"/>
        </w:rPr>
      </w:pPr>
      <w:r w:rsidRPr="009C016D">
        <w:rPr>
          <w:rFonts w:ascii="Century Schoolbook" w:hAnsi="Century Schoolbook"/>
        </w:rPr>
        <w:t>TITUS’s Illegal Distribution of Controlled Substances</w:t>
      </w:r>
    </w:p>
    <w:p w:rsidR="0008400E" w:rsidRPr="009C016D" w:rsidRDefault="0008400E" w:rsidP="0008400E">
      <w:pPr>
        <w:rPr>
          <w:rFonts w:ascii="Century Schoolbook" w:hAnsi="Century Schoolbook"/>
        </w:rPr>
      </w:pPr>
    </w:p>
    <w:p w:rsidR="0008400E" w:rsidRPr="009C016D" w:rsidRDefault="0008400E" w:rsidP="0008400E">
      <w:pPr>
        <w:pStyle w:val="ListParagraph"/>
        <w:rPr>
          <w:rFonts w:ascii="Century Schoolbook" w:hAnsi="Century Schoolbook"/>
        </w:rPr>
      </w:pPr>
      <w:r w:rsidRPr="009C016D">
        <w:rPr>
          <w:rFonts w:ascii="Century Schoolbook" w:hAnsi="Century Schoolbook"/>
        </w:rPr>
        <w:t xml:space="preserve">In or around 2005, </w:t>
      </w:r>
      <w:r w:rsidRPr="009C016D">
        <w:rPr>
          <w:rFonts w:ascii="Century Schoolbook" w:hAnsi="Century Schoolbook"/>
          <w:b/>
        </w:rPr>
        <w:t>TITUS</w:t>
      </w:r>
      <w:r w:rsidRPr="009C016D">
        <w:rPr>
          <w:rFonts w:ascii="Century Schoolbook" w:hAnsi="Century Schoolbook"/>
        </w:rPr>
        <w:t xml:space="preserve"> established </w:t>
      </w:r>
      <w:r w:rsidR="006C57D0" w:rsidRPr="009C016D">
        <w:rPr>
          <w:rFonts w:ascii="Century Schoolbook" w:hAnsi="Century Schoolbook"/>
        </w:rPr>
        <w:t xml:space="preserve">Lighthouse Internal Medicine, an </w:t>
      </w:r>
      <w:r w:rsidR="007A0640" w:rsidRPr="009C016D">
        <w:rPr>
          <w:rFonts w:ascii="Century Schoolbook" w:hAnsi="Century Schoolbook"/>
        </w:rPr>
        <w:t>internal medicine</w:t>
      </w:r>
      <w:r w:rsidR="006C57D0" w:rsidRPr="009C016D">
        <w:rPr>
          <w:rFonts w:ascii="Century Schoolbook" w:hAnsi="Century Schoolbook"/>
        </w:rPr>
        <w:t xml:space="preserve"> practice in Milford, Delaware.</w:t>
      </w:r>
      <w:r w:rsidR="007A0640" w:rsidRPr="009C016D">
        <w:rPr>
          <w:rFonts w:ascii="Century Schoolbook" w:hAnsi="Century Schoolbook"/>
        </w:rPr>
        <w:t xml:space="preserve">  Aside from a short period of time in or around 2011, </w:t>
      </w:r>
      <w:r w:rsidR="007A0640" w:rsidRPr="009C016D">
        <w:rPr>
          <w:rFonts w:ascii="Century Schoolbook" w:hAnsi="Century Schoolbook"/>
          <w:b/>
        </w:rPr>
        <w:t>TITUS</w:t>
      </w:r>
      <w:r w:rsidR="007A0640" w:rsidRPr="009C016D">
        <w:rPr>
          <w:rFonts w:ascii="Century Schoolbook" w:hAnsi="Century Schoolbook"/>
        </w:rPr>
        <w:t xml:space="preserve"> was the only medical professional at Lighthouse Internal Medicine with prescriptive authority.</w:t>
      </w:r>
    </w:p>
    <w:p w:rsidR="006C57D0" w:rsidRPr="009C016D" w:rsidRDefault="006C57D0" w:rsidP="0008400E">
      <w:pPr>
        <w:pStyle w:val="ListParagraph"/>
        <w:rPr>
          <w:rFonts w:ascii="Century Schoolbook" w:hAnsi="Century Schoolbook"/>
        </w:rPr>
      </w:pPr>
      <w:r w:rsidRPr="009C016D">
        <w:rPr>
          <w:rFonts w:ascii="Century Schoolbook" w:hAnsi="Century Schoolbook"/>
        </w:rPr>
        <w:t xml:space="preserve">Within a few years of opening his internal medicine practice, </w:t>
      </w:r>
      <w:r w:rsidRPr="009C016D">
        <w:rPr>
          <w:rFonts w:ascii="Century Schoolbook" w:hAnsi="Century Schoolbook"/>
          <w:b/>
        </w:rPr>
        <w:t>TITUS</w:t>
      </w:r>
      <w:r w:rsidRPr="009C016D">
        <w:rPr>
          <w:rFonts w:ascii="Century Schoolbook" w:hAnsi="Century Schoolbook"/>
        </w:rPr>
        <w:t xml:space="preserve"> began prescribing unlawful prescriptions to some of his patients for controlled substances that he wrote without a legitimate medical purpose and outside the scope of professional practice. </w:t>
      </w:r>
    </w:p>
    <w:p w:rsidR="00D10E02" w:rsidRPr="009C016D" w:rsidRDefault="00D10E02" w:rsidP="0008400E">
      <w:pPr>
        <w:pStyle w:val="ListParagraph"/>
        <w:rPr>
          <w:rFonts w:ascii="Century Schoolbook" w:hAnsi="Century Schoolbook"/>
        </w:rPr>
      </w:pPr>
      <w:r w:rsidRPr="009C016D">
        <w:rPr>
          <w:rFonts w:ascii="Century Schoolbook" w:hAnsi="Century Schoolbook"/>
        </w:rPr>
        <w:t xml:space="preserve">In or around 2012, </w:t>
      </w:r>
      <w:r w:rsidRPr="009C016D">
        <w:rPr>
          <w:rFonts w:ascii="Century Schoolbook" w:hAnsi="Century Schoolbook"/>
          <w:b/>
        </w:rPr>
        <w:t>TITUS</w:t>
      </w:r>
      <w:r w:rsidRPr="009C016D">
        <w:rPr>
          <w:rFonts w:ascii="Century Schoolbook" w:hAnsi="Century Schoolbook"/>
        </w:rPr>
        <w:t xml:space="preserve"> moved his practice location from 550 S. Dupont Boulevard in Milford, Delaware to 10-12 North Church Street in Milford, Delaware, where he remained until his office shut down in or around late 2014.   </w:t>
      </w:r>
    </w:p>
    <w:p w:rsidR="006C57D0" w:rsidRPr="009C016D" w:rsidRDefault="006C57D0" w:rsidP="0008400E">
      <w:pPr>
        <w:pStyle w:val="ListParagraph"/>
        <w:rPr>
          <w:rFonts w:ascii="Century Schoolbook" w:hAnsi="Century Schoolbook"/>
        </w:rPr>
      </w:pPr>
      <w:r w:rsidRPr="009C016D">
        <w:rPr>
          <w:rFonts w:ascii="Century Schoolbook" w:hAnsi="Century Schoolbook"/>
        </w:rPr>
        <w:t xml:space="preserve">Patients often visited </w:t>
      </w:r>
      <w:r w:rsidRPr="009C016D">
        <w:rPr>
          <w:rFonts w:ascii="Century Schoolbook" w:hAnsi="Century Schoolbook"/>
          <w:b/>
        </w:rPr>
        <w:t>TITUS</w:t>
      </w:r>
      <w:r w:rsidRPr="009C016D">
        <w:rPr>
          <w:rFonts w:ascii="Century Schoolbook" w:hAnsi="Century Schoolbook"/>
        </w:rPr>
        <w:t xml:space="preserve"> seeking opioid pain medications.  </w:t>
      </w:r>
      <w:r w:rsidRPr="009C016D">
        <w:rPr>
          <w:rFonts w:ascii="Century Schoolbook" w:hAnsi="Century Schoolbook"/>
          <w:b/>
        </w:rPr>
        <w:t>TITUS</w:t>
      </w:r>
      <w:r w:rsidRPr="009C016D">
        <w:rPr>
          <w:rFonts w:ascii="Century Schoolbook" w:hAnsi="Century Schoolbook"/>
        </w:rPr>
        <w:t xml:space="preserve"> charged an up-front payment of approximately $225 for initial visits and approximately $180 for follow-up visits, which occurred nearly every month for pain </w:t>
      </w:r>
      <w:r w:rsidRPr="009C016D">
        <w:rPr>
          <w:rFonts w:ascii="Century Schoolbook" w:hAnsi="Century Schoolbook"/>
        </w:rPr>
        <w:lastRenderedPageBreak/>
        <w:t xml:space="preserve">management patients.  </w:t>
      </w:r>
      <w:r w:rsidR="007A0640" w:rsidRPr="009C016D">
        <w:rPr>
          <w:rFonts w:ascii="Century Schoolbook" w:hAnsi="Century Schoolbook"/>
          <w:b/>
        </w:rPr>
        <w:t>TITUS</w:t>
      </w:r>
      <w:r w:rsidR="007A0640" w:rsidRPr="009C016D">
        <w:rPr>
          <w:rFonts w:ascii="Century Schoolbook" w:hAnsi="Century Schoolbook"/>
        </w:rPr>
        <w:t xml:space="preserve"> also billed Medicare for pain management patients who were Medicare beneficiaries.  </w:t>
      </w:r>
    </w:p>
    <w:p w:rsidR="007A0640" w:rsidRPr="009C016D" w:rsidRDefault="006C57D0" w:rsidP="00C11FC8">
      <w:pPr>
        <w:pStyle w:val="ListParagraph"/>
        <w:rPr>
          <w:rFonts w:ascii="Century Schoolbook" w:hAnsi="Century Schoolbook"/>
        </w:rPr>
      </w:pPr>
      <w:r w:rsidRPr="009C016D">
        <w:rPr>
          <w:rFonts w:ascii="Century Schoolbook" w:hAnsi="Century Schoolbook"/>
        </w:rPr>
        <w:t xml:space="preserve">At the first and nearly every follow-up visit, </w:t>
      </w:r>
      <w:r w:rsidRPr="009C016D">
        <w:rPr>
          <w:rFonts w:ascii="Century Schoolbook" w:hAnsi="Century Schoolbook"/>
          <w:b/>
        </w:rPr>
        <w:t>TITUS</w:t>
      </w:r>
      <w:r w:rsidRPr="009C016D">
        <w:rPr>
          <w:rFonts w:ascii="Century Schoolbook" w:hAnsi="Century Schoolbook"/>
        </w:rPr>
        <w:t xml:space="preserve"> prescribed</w:t>
      </w:r>
      <w:r w:rsidR="00D10E02" w:rsidRPr="009C016D">
        <w:rPr>
          <w:rFonts w:ascii="Century Schoolbook" w:hAnsi="Century Schoolbook"/>
        </w:rPr>
        <w:t xml:space="preserve"> pain management patients</w:t>
      </w:r>
      <w:r w:rsidRPr="009C016D">
        <w:rPr>
          <w:rFonts w:ascii="Century Schoolbook" w:hAnsi="Century Schoolbook"/>
        </w:rPr>
        <w:t xml:space="preserve"> controlled substances in high dosages, often without conducting any meaningful physical examination</w:t>
      </w:r>
      <w:r w:rsidR="00D10E02" w:rsidRPr="009C016D">
        <w:rPr>
          <w:rFonts w:ascii="Century Schoolbook" w:hAnsi="Century Schoolbook"/>
        </w:rPr>
        <w:t xml:space="preserve"> and without reviewing urine drug test (“UDT”) results.  </w:t>
      </w:r>
    </w:p>
    <w:p w:rsidR="00D10E02" w:rsidRPr="009C016D" w:rsidRDefault="00D10E02" w:rsidP="00C11FC8">
      <w:pPr>
        <w:pStyle w:val="ListParagraph"/>
        <w:rPr>
          <w:rFonts w:ascii="Century Schoolbook" w:hAnsi="Century Schoolbook"/>
        </w:rPr>
      </w:pPr>
      <w:r w:rsidRPr="009C016D">
        <w:rPr>
          <w:rFonts w:ascii="Century Schoolbook" w:hAnsi="Century Schoolbook"/>
        </w:rPr>
        <w:t xml:space="preserve">In many instances, </w:t>
      </w:r>
      <w:r w:rsidRPr="009C016D">
        <w:rPr>
          <w:rFonts w:ascii="Century Schoolbook" w:hAnsi="Century Schoolbook"/>
          <w:b/>
        </w:rPr>
        <w:t>TITUS</w:t>
      </w:r>
      <w:r w:rsidRPr="009C016D">
        <w:rPr>
          <w:rFonts w:ascii="Century Schoolbook" w:hAnsi="Century Schoolbook"/>
        </w:rPr>
        <w:t xml:space="preserve"> issued unlawful prescriptions for controlled substances to patients despite indications that such patients were abusing, misusing, or diverting the controlled substances he prescribed. </w:t>
      </w:r>
      <w:r w:rsidR="00C11FC8" w:rsidRPr="009C016D">
        <w:rPr>
          <w:rFonts w:ascii="Century Schoolbook" w:hAnsi="Century Schoolbook"/>
        </w:rPr>
        <w:t xml:space="preserve"> </w:t>
      </w:r>
      <w:r w:rsidRPr="009C016D">
        <w:rPr>
          <w:rFonts w:ascii="Century Schoolbook" w:hAnsi="Century Schoolbook"/>
          <w:b/>
        </w:rPr>
        <w:t>TITUS</w:t>
      </w:r>
      <w:r w:rsidRPr="009C016D">
        <w:rPr>
          <w:rFonts w:ascii="Century Schoolbook" w:hAnsi="Century Schoolbook"/>
        </w:rPr>
        <w:t xml:space="preserve"> often ignored “red flags” t</w:t>
      </w:r>
      <w:r w:rsidR="00C11FC8" w:rsidRPr="009C016D">
        <w:rPr>
          <w:rFonts w:ascii="Century Schoolbook" w:hAnsi="Century Schoolbook"/>
        </w:rPr>
        <w:t xml:space="preserve">hat many of his pain management </w:t>
      </w:r>
      <w:r w:rsidRPr="009C016D">
        <w:rPr>
          <w:rFonts w:ascii="Century Schoolbook" w:hAnsi="Century Schoolbook"/>
        </w:rPr>
        <w:t>patients displayed</w:t>
      </w:r>
      <w:r w:rsidR="00C11FC8" w:rsidRPr="009C016D">
        <w:rPr>
          <w:rFonts w:ascii="Century Schoolbook" w:hAnsi="Century Schoolbook"/>
        </w:rPr>
        <w:t xml:space="preserve">, including inconsistent UDTs, traveling long distances—sometimes from out of state—to obtain controlled substance prescriptions from </w:t>
      </w:r>
      <w:r w:rsidR="00C11FC8" w:rsidRPr="009C016D">
        <w:rPr>
          <w:rFonts w:ascii="Century Schoolbook" w:hAnsi="Century Schoolbook"/>
          <w:b/>
        </w:rPr>
        <w:t>TITUS</w:t>
      </w:r>
      <w:r w:rsidR="00C11FC8" w:rsidRPr="009C016D">
        <w:rPr>
          <w:rFonts w:ascii="Century Schoolbook" w:hAnsi="Century Schoolbook"/>
        </w:rPr>
        <w:t xml:space="preserve">, paying cash despite being covered by Medicaid—which TITUS stopped taking in or around 2011, and “doctor shopping.” </w:t>
      </w:r>
    </w:p>
    <w:p w:rsidR="00C11FC8" w:rsidRPr="009C016D" w:rsidRDefault="00C11FC8" w:rsidP="00C11FC8">
      <w:pPr>
        <w:pStyle w:val="ListParagraph"/>
        <w:rPr>
          <w:rFonts w:ascii="Century Schoolbook" w:hAnsi="Century Schoolbook"/>
        </w:rPr>
      </w:pPr>
      <w:r w:rsidRPr="009C016D">
        <w:rPr>
          <w:rFonts w:ascii="Century Schoolbook" w:hAnsi="Century Schoolbook"/>
        </w:rPr>
        <w:t xml:space="preserve">It was often </w:t>
      </w:r>
      <w:r w:rsidRPr="009C016D">
        <w:rPr>
          <w:rFonts w:ascii="Century Schoolbook" w:hAnsi="Century Schoolbook"/>
          <w:b/>
        </w:rPr>
        <w:t>TITUS</w:t>
      </w:r>
      <w:r w:rsidRPr="009C016D">
        <w:rPr>
          <w:rFonts w:ascii="Century Schoolbook" w:hAnsi="Century Schoolbook"/>
        </w:rPr>
        <w:t xml:space="preserve">’s practice to prescribe high doses of controlled substances to new patients without first obtaining prior medical records or </w:t>
      </w:r>
      <w:r w:rsidR="007A0640" w:rsidRPr="009C016D">
        <w:rPr>
          <w:rFonts w:ascii="Century Schoolbook" w:hAnsi="Century Schoolbook"/>
        </w:rPr>
        <w:t xml:space="preserve">reviewing recent </w:t>
      </w:r>
      <w:r w:rsidRPr="009C016D">
        <w:rPr>
          <w:rFonts w:ascii="Century Schoolbook" w:hAnsi="Century Schoolbook"/>
        </w:rPr>
        <w:t xml:space="preserve">diagnostic testing results.  Moreover, </w:t>
      </w:r>
      <w:r w:rsidRPr="009C016D">
        <w:rPr>
          <w:rFonts w:ascii="Century Schoolbook" w:hAnsi="Century Schoolbook"/>
          <w:b/>
        </w:rPr>
        <w:t>TITUS</w:t>
      </w:r>
      <w:r w:rsidRPr="009C016D">
        <w:rPr>
          <w:rFonts w:ascii="Century Schoolbook" w:hAnsi="Century Schoolbook"/>
        </w:rPr>
        <w:t xml:space="preserve"> rarely referred pain management patients for alternative modalities of treatment</w:t>
      </w:r>
      <w:r w:rsidR="007A0640" w:rsidRPr="009C016D">
        <w:rPr>
          <w:rFonts w:ascii="Century Schoolbook" w:hAnsi="Century Schoolbook"/>
        </w:rPr>
        <w:t xml:space="preserve"> of chronic pain</w:t>
      </w:r>
      <w:r w:rsidRPr="009C016D">
        <w:rPr>
          <w:rFonts w:ascii="Century Schoolbook" w:hAnsi="Century Schoolbook"/>
        </w:rPr>
        <w:t>, such as physical thera</w:t>
      </w:r>
      <w:r w:rsidR="007A0640" w:rsidRPr="009C016D">
        <w:rPr>
          <w:rFonts w:ascii="Century Schoolbook" w:hAnsi="Century Schoolbook"/>
        </w:rPr>
        <w:t xml:space="preserve">py, massage therapy, or psychotherapy.   Nor did </w:t>
      </w:r>
      <w:r w:rsidR="007A0640" w:rsidRPr="009C016D">
        <w:rPr>
          <w:rFonts w:ascii="Century Schoolbook" w:hAnsi="Century Schoolbook"/>
          <w:b/>
        </w:rPr>
        <w:t>TITUS</w:t>
      </w:r>
      <w:r w:rsidR="007A0640" w:rsidRPr="009C016D">
        <w:rPr>
          <w:rFonts w:ascii="Century Schoolbook" w:hAnsi="Century Schoolbook"/>
        </w:rPr>
        <w:t xml:space="preserve"> regularly refer pain management patients for treatment or a second opinion by a pain management specialist before continuing to prescribe high doses of controlled substances on a nearly monthly basis. </w:t>
      </w:r>
    </w:p>
    <w:p w:rsidR="004E142F" w:rsidRPr="009C016D" w:rsidRDefault="007A0640" w:rsidP="004E142F">
      <w:pPr>
        <w:pStyle w:val="ListParagraph"/>
        <w:rPr>
          <w:rFonts w:ascii="Century Schoolbook" w:hAnsi="Century Schoolbook"/>
        </w:rPr>
      </w:pPr>
      <w:r w:rsidRPr="009C016D">
        <w:rPr>
          <w:rFonts w:ascii="Century Schoolbook" w:hAnsi="Century Schoolbook"/>
          <w:b/>
        </w:rPr>
        <w:lastRenderedPageBreak/>
        <w:t>TITUS</w:t>
      </w:r>
      <w:r w:rsidRPr="009C016D">
        <w:rPr>
          <w:rFonts w:ascii="Century Schoolbook" w:hAnsi="Century Schoolbook"/>
        </w:rPr>
        <w:t xml:space="preserve"> distributed and dispensed, and caused to be distributed and dispensed, controlled substances to many of his patients not for a legitimate medical purpose and outside the scope of professional practice.  </w:t>
      </w:r>
      <w:r w:rsidR="004E142F" w:rsidRPr="009C016D">
        <w:rPr>
          <w:rFonts w:ascii="Century Schoolbook" w:hAnsi="Century Schoolbook"/>
        </w:rPr>
        <w:t xml:space="preserve">Despite some aspects of legitimate medical practice, </w:t>
      </w:r>
      <w:r w:rsidR="004E142F" w:rsidRPr="009C016D">
        <w:rPr>
          <w:rFonts w:ascii="Century Schoolbook" w:hAnsi="Century Schoolbook"/>
          <w:b/>
        </w:rPr>
        <w:t>TITUS</w:t>
      </w:r>
      <w:r w:rsidR="004E142F" w:rsidRPr="009C016D">
        <w:rPr>
          <w:rFonts w:ascii="Century Schoolbook" w:hAnsi="Century Schoolbook"/>
        </w:rPr>
        <w:t xml:space="preserve"> ran what was, in essence, a “pill mill”—</w:t>
      </w:r>
      <w:r w:rsidR="004E142F" w:rsidRPr="009C016D">
        <w:rPr>
          <w:rFonts w:ascii="Century Schoolbook" w:hAnsi="Century Schoolbook"/>
          <w:b/>
        </w:rPr>
        <w:t>TITUS</w:t>
      </w:r>
      <w:r w:rsidR="004E142F" w:rsidRPr="009C016D">
        <w:rPr>
          <w:rFonts w:ascii="Century Schoolbook" w:hAnsi="Century Schoolbook"/>
        </w:rPr>
        <w:t>’s primary method of treating nearly all of his pain management patients was to prescribe highly addictive opioid controlled substances, including, but not limited to, Oxycodone, Morphine, Methadone, Fentanyl, and Hydrocodone.</w:t>
      </w:r>
    </w:p>
    <w:p w:rsidR="007A0640" w:rsidRPr="009C016D" w:rsidRDefault="007A0640" w:rsidP="001B2C3E">
      <w:pPr>
        <w:pStyle w:val="ListParagraph"/>
        <w:rPr>
          <w:rFonts w:ascii="Century Schoolbook" w:hAnsi="Century Schoolbook"/>
        </w:rPr>
      </w:pPr>
      <w:r w:rsidRPr="009C016D">
        <w:rPr>
          <w:rFonts w:ascii="Century Schoolbook" w:hAnsi="Century Schoolbook"/>
        </w:rPr>
        <w:t>PMP reports for the time period between in or around July 2012 and in or arou</w:t>
      </w:r>
      <w:r w:rsidR="004E142F" w:rsidRPr="009C016D">
        <w:rPr>
          <w:rFonts w:ascii="Century Schoolbook" w:hAnsi="Century Schoolbook"/>
        </w:rPr>
        <w:t>nd December 2014 indicate that</w:t>
      </w:r>
      <w:r w:rsidRPr="009C016D">
        <w:rPr>
          <w:rFonts w:ascii="Century Schoolbook" w:hAnsi="Century Schoolbook"/>
        </w:rPr>
        <w:t xml:space="preserve"> </w:t>
      </w:r>
      <w:r w:rsidRPr="009C016D">
        <w:rPr>
          <w:rFonts w:ascii="Century Schoolbook" w:hAnsi="Century Schoolbook"/>
          <w:b/>
        </w:rPr>
        <w:t xml:space="preserve">TITUS </w:t>
      </w:r>
      <w:r w:rsidRPr="009C016D">
        <w:rPr>
          <w:rFonts w:ascii="Century Schoolbook" w:hAnsi="Century Schoolbook"/>
        </w:rPr>
        <w:t>wrote over 25,000 prescriptions for over 2,000,000 dosage units of Oxycodone products, including OxyContin</w:t>
      </w:r>
      <w:r w:rsidRPr="009C016D">
        <w:rPr>
          <w:rFonts w:ascii="Century Schoolbook" w:hAnsi="Century Schoolbook"/>
          <w:vertAlign w:val="superscript"/>
        </w:rPr>
        <w:t>®</w:t>
      </w:r>
      <w:r w:rsidRPr="009C016D">
        <w:rPr>
          <w:rFonts w:ascii="Century Schoolbook" w:hAnsi="Century Schoolbook"/>
        </w:rPr>
        <w:t xml:space="preserve"> and Roxicodone</w:t>
      </w:r>
      <w:r w:rsidRPr="009C016D">
        <w:rPr>
          <w:rFonts w:ascii="Century Schoolbook" w:hAnsi="Century Schoolbook"/>
          <w:vertAlign w:val="superscript"/>
        </w:rPr>
        <w:t>®</w:t>
      </w:r>
      <w:r w:rsidRPr="009C016D">
        <w:rPr>
          <w:rFonts w:ascii="Century Schoolbook" w:hAnsi="Century Schoolbook"/>
        </w:rPr>
        <w:t xml:space="preserve">.  In addition to Oxycodone or an Oxycodone product, </w:t>
      </w:r>
      <w:r w:rsidRPr="009C016D">
        <w:rPr>
          <w:rFonts w:ascii="Century Schoolbook" w:hAnsi="Century Schoolbook"/>
          <w:b/>
        </w:rPr>
        <w:t>TITUS</w:t>
      </w:r>
      <w:r w:rsidRPr="009C016D">
        <w:rPr>
          <w:rFonts w:ascii="Century Schoolbook" w:hAnsi="Century Schoolbook"/>
        </w:rPr>
        <w:t xml:space="preserve"> also prescribed a majority of those patients at least one additional controlled substance such as Morphine, Methadone, or Fentanyl patches; and, in several cases, </w:t>
      </w:r>
      <w:r w:rsidRPr="009C016D">
        <w:rPr>
          <w:rFonts w:ascii="Century Schoolbook" w:hAnsi="Century Schoolbook"/>
          <w:b/>
        </w:rPr>
        <w:t>TITUS</w:t>
      </w:r>
      <w:r w:rsidRPr="009C016D">
        <w:rPr>
          <w:rFonts w:ascii="Century Schoolbook" w:hAnsi="Century Schoolbook"/>
        </w:rPr>
        <w:t xml:space="preserve"> also prescribed a sedative such as Alprazolam, including Xanax</w:t>
      </w:r>
      <w:r w:rsidRPr="009C016D">
        <w:rPr>
          <w:rFonts w:ascii="Century Schoolbook" w:hAnsi="Century Schoolbook"/>
          <w:vertAlign w:val="superscript"/>
        </w:rPr>
        <w:t>®</w:t>
      </w:r>
      <w:r w:rsidRPr="009C016D">
        <w:rPr>
          <w:rFonts w:ascii="Century Schoolbook" w:hAnsi="Century Schoolbook"/>
        </w:rPr>
        <w:t>, or Zolpidem, including Ambien</w:t>
      </w:r>
      <w:r w:rsidRPr="009C016D">
        <w:rPr>
          <w:rFonts w:ascii="Century Schoolbook" w:hAnsi="Century Schoolbook"/>
          <w:vertAlign w:val="superscript"/>
        </w:rPr>
        <w:t>®</w:t>
      </w:r>
      <w:r w:rsidRPr="009C016D">
        <w:rPr>
          <w:rFonts w:ascii="Century Schoolbook" w:hAnsi="Century Schoolbook"/>
        </w:rPr>
        <w:t xml:space="preserve">. </w:t>
      </w:r>
    </w:p>
    <w:p w:rsidR="007A0640" w:rsidRPr="009C016D" w:rsidRDefault="007A0640" w:rsidP="007A0640">
      <w:pPr>
        <w:pStyle w:val="ListParagraph"/>
        <w:rPr>
          <w:rFonts w:ascii="Century Schoolbook" w:hAnsi="Century Schoolbook"/>
        </w:rPr>
      </w:pPr>
      <w:r w:rsidRPr="009C016D">
        <w:rPr>
          <w:rFonts w:ascii="Century Schoolbook" w:hAnsi="Century Schoolbook"/>
          <w:b/>
        </w:rPr>
        <w:t>TITUS</w:t>
      </w:r>
      <w:r w:rsidRPr="009C016D">
        <w:rPr>
          <w:rFonts w:ascii="Century Schoolbook" w:hAnsi="Century Schoolbook"/>
        </w:rPr>
        <w:t xml:space="preserve"> obtained substantial income from this unlawful distribution of controlled substances, much of it in cash proceeds.</w:t>
      </w:r>
    </w:p>
    <w:p w:rsidR="00EC02A3" w:rsidRPr="009C016D" w:rsidRDefault="00EC02A3" w:rsidP="003C0ED5">
      <w:pPr>
        <w:pStyle w:val="Heading1"/>
        <w:rPr>
          <w:rFonts w:ascii="Century Schoolbook" w:hAnsi="Century Schoolbook"/>
        </w:rPr>
      </w:pPr>
      <w:r w:rsidRPr="009C016D">
        <w:rPr>
          <w:rFonts w:ascii="Century Schoolbook" w:hAnsi="Century Schoolbook"/>
        </w:rPr>
        <w:t>COUNTS ONE THROUGH</w:t>
      </w:r>
      <w:r w:rsidR="00F11D09" w:rsidRPr="009C016D">
        <w:rPr>
          <w:rFonts w:ascii="Century Schoolbook" w:hAnsi="Century Schoolbook"/>
        </w:rPr>
        <w:t xml:space="preserve"> FOURTEEN</w:t>
      </w:r>
    </w:p>
    <w:p w:rsidR="00EC02A3" w:rsidRPr="009C016D" w:rsidRDefault="00EC02A3" w:rsidP="00EC02A3">
      <w:pPr>
        <w:jc w:val="center"/>
        <w:rPr>
          <w:rFonts w:ascii="Century Schoolbook" w:hAnsi="Century Schoolbook"/>
          <w:b/>
        </w:rPr>
      </w:pPr>
      <w:r w:rsidRPr="009C016D">
        <w:rPr>
          <w:rFonts w:ascii="Century Schoolbook" w:hAnsi="Century Schoolbook"/>
          <w:b/>
        </w:rPr>
        <w:t>Unlawful Distributi</w:t>
      </w:r>
      <w:r w:rsidR="004976F4" w:rsidRPr="009C016D">
        <w:rPr>
          <w:rFonts w:ascii="Century Schoolbook" w:hAnsi="Century Schoolbook"/>
          <w:b/>
        </w:rPr>
        <w:t>on</w:t>
      </w:r>
      <w:r w:rsidRPr="009C016D">
        <w:rPr>
          <w:rFonts w:ascii="Century Schoolbook" w:hAnsi="Century Schoolbook"/>
          <w:b/>
        </w:rPr>
        <w:t xml:space="preserve"> and Dispensing </w:t>
      </w:r>
      <w:r w:rsidR="004976F4" w:rsidRPr="009C016D">
        <w:rPr>
          <w:rFonts w:ascii="Century Schoolbook" w:hAnsi="Century Schoolbook"/>
          <w:b/>
        </w:rPr>
        <w:t xml:space="preserve">of </w:t>
      </w:r>
      <w:r w:rsidRPr="009C016D">
        <w:rPr>
          <w:rFonts w:ascii="Century Schoolbook" w:hAnsi="Century Schoolbook"/>
          <w:b/>
        </w:rPr>
        <w:t xml:space="preserve">Controlled Substances </w:t>
      </w:r>
    </w:p>
    <w:p w:rsidR="00F11D09" w:rsidRPr="009C016D" w:rsidRDefault="00F11D09" w:rsidP="00EC02A3">
      <w:pPr>
        <w:jc w:val="center"/>
        <w:rPr>
          <w:rFonts w:ascii="Century Schoolbook" w:hAnsi="Century Schoolbook"/>
          <w:b/>
        </w:rPr>
      </w:pPr>
      <w:r w:rsidRPr="009C016D">
        <w:rPr>
          <w:rFonts w:ascii="Century Schoolbook" w:hAnsi="Century Schoolbook"/>
          <w:b/>
        </w:rPr>
        <w:t>(21 U.S.C. § 841 and 18 U.S.C. § 2)</w:t>
      </w:r>
    </w:p>
    <w:p w:rsidR="00EC02A3" w:rsidRPr="009C016D" w:rsidRDefault="00EC02A3" w:rsidP="007C775D">
      <w:pPr>
        <w:jc w:val="both"/>
        <w:rPr>
          <w:rFonts w:ascii="Century Schoolbook" w:hAnsi="Century Schoolbook"/>
          <w:b/>
        </w:rPr>
      </w:pPr>
    </w:p>
    <w:p w:rsidR="00EC02A3" w:rsidRPr="009C016D" w:rsidRDefault="00EC02A3" w:rsidP="007C775D">
      <w:pPr>
        <w:pStyle w:val="ListParagraph"/>
        <w:rPr>
          <w:rFonts w:ascii="Century Schoolbook" w:hAnsi="Century Schoolbook"/>
        </w:rPr>
      </w:pPr>
      <w:r w:rsidRPr="009C016D">
        <w:rPr>
          <w:rFonts w:ascii="Century Schoolbook" w:hAnsi="Century Schoolbook"/>
        </w:rPr>
        <w:t xml:space="preserve">Paragraphs </w:t>
      </w:r>
      <w:r w:rsidR="002B63D8" w:rsidRPr="009C016D">
        <w:rPr>
          <w:rFonts w:ascii="Century Schoolbook" w:hAnsi="Century Schoolbook"/>
        </w:rPr>
        <w:t xml:space="preserve">1 through </w:t>
      </w:r>
      <w:r w:rsidR="007A0640" w:rsidRPr="009C016D">
        <w:rPr>
          <w:rFonts w:ascii="Century Schoolbook" w:hAnsi="Century Schoolbook"/>
        </w:rPr>
        <w:t>2</w:t>
      </w:r>
      <w:r w:rsidR="00395243">
        <w:rPr>
          <w:rFonts w:ascii="Century Schoolbook" w:hAnsi="Century Schoolbook"/>
        </w:rPr>
        <w:t>2</w:t>
      </w:r>
      <w:r w:rsidRPr="009C016D">
        <w:rPr>
          <w:rFonts w:ascii="Century Schoolbook" w:hAnsi="Century Schoolbook"/>
        </w:rPr>
        <w:t xml:space="preserve"> of this Indictment are realleged and incorporated by reference as though fully set forth herein.</w:t>
      </w:r>
    </w:p>
    <w:p w:rsidR="00EC02A3" w:rsidRPr="009C016D" w:rsidRDefault="00EC02A3" w:rsidP="007C775D">
      <w:pPr>
        <w:pStyle w:val="ListParagraph"/>
        <w:rPr>
          <w:rFonts w:ascii="Century Schoolbook" w:hAnsi="Century Schoolbook"/>
        </w:rPr>
      </w:pPr>
      <w:r w:rsidRPr="009C016D">
        <w:rPr>
          <w:rFonts w:ascii="Century Schoolbook" w:hAnsi="Century Schoolbook"/>
        </w:rPr>
        <w:lastRenderedPageBreak/>
        <w:t>On or about the dates s</w:t>
      </w:r>
      <w:r w:rsidR="008307C2" w:rsidRPr="009C016D">
        <w:rPr>
          <w:rFonts w:ascii="Century Schoolbook" w:hAnsi="Century Schoolbook"/>
        </w:rPr>
        <w:t>et forth</w:t>
      </w:r>
      <w:r w:rsidRPr="009C016D">
        <w:rPr>
          <w:rFonts w:ascii="Century Schoolbook" w:hAnsi="Century Schoolbook"/>
        </w:rPr>
        <w:t xml:space="preserve"> below, in the District of Delaware and elsewhere, the Defendant, </w:t>
      </w:r>
    </w:p>
    <w:p w:rsidR="00EC02A3" w:rsidRPr="009C016D" w:rsidRDefault="00EC02A3" w:rsidP="00EC02A3">
      <w:pPr>
        <w:jc w:val="center"/>
        <w:rPr>
          <w:rFonts w:ascii="Century Schoolbook" w:hAnsi="Century Schoolbook"/>
          <w:b/>
        </w:rPr>
      </w:pPr>
      <w:r w:rsidRPr="009C016D">
        <w:rPr>
          <w:rFonts w:ascii="Century Schoolbook" w:hAnsi="Century Schoolbook"/>
          <w:b/>
        </w:rPr>
        <w:t>PATRICK TITUS</w:t>
      </w:r>
    </w:p>
    <w:p w:rsidR="00EC02A3" w:rsidRPr="009C016D" w:rsidRDefault="00EC02A3" w:rsidP="00EC02A3">
      <w:pPr>
        <w:rPr>
          <w:rFonts w:ascii="Century Schoolbook" w:hAnsi="Century Schoolbook"/>
        </w:rPr>
      </w:pPr>
    </w:p>
    <w:p w:rsidR="007C775D" w:rsidRPr="009C016D" w:rsidRDefault="00EC02A3" w:rsidP="007C775D">
      <w:pPr>
        <w:spacing w:line="480" w:lineRule="auto"/>
        <w:jc w:val="both"/>
        <w:rPr>
          <w:rFonts w:ascii="Century Schoolbook" w:hAnsi="Century Schoolbook"/>
        </w:rPr>
      </w:pPr>
      <w:r w:rsidRPr="009C016D">
        <w:rPr>
          <w:rFonts w:ascii="Century Schoolbook" w:hAnsi="Century Schoolbook"/>
        </w:rPr>
        <w:t xml:space="preserve">did </w:t>
      </w:r>
      <w:r w:rsidR="004976F4" w:rsidRPr="009C016D">
        <w:rPr>
          <w:rFonts w:ascii="Century Schoolbook" w:hAnsi="Century Schoolbook"/>
        </w:rPr>
        <w:t xml:space="preserve">knowingly and intentionally </w:t>
      </w:r>
      <w:r w:rsidRPr="009C016D">
        <w:rPr>
          <w:rFonts w:ascii="Century Schoolbook" w:hAnsi="Century Schoolbook"/>
        </w:rPr>
        <w:t xml:space="preserve">distribute and dispense, </w:t>
      </w:r>
      <w:r w:rsidR="004976F4" w:rsidRPr="009C016D">
        <w:rPr>
          <w:rFonts w:ascii="Century Schoolbook" w:hAnsi="Century Schoolbook"/>
        </w:rPr>
        <w:t xml:space="preserve">and cause to be distributed and dispensed, </w:t>
      </w:r>
      <w:r w:rsidR="008307C2" w:rsidRPr="009C016D">
        <w:rPr>
          <w:rFonts w:ascii="Century Schoolbook" w:hAnsi="Century Schoolbook"/>
        </w:rPr>
        <w:t xml:space="preserve">and aided and abetted the distribution and dispensing of, </w:t>
      </w:r>
      <w:r w:rsidR="004976F4" w:rsidRPr="009C016D">
        <w:rPr>
          <w:rFonts w:ascii="Century Schoolbook" w:hAnsi="Century Schoolbook"/>
        </w:rPr>
        <w:t>outside the usual course of professional practice and not for a legitimate medical purpose, the Schedule II controlled substances, as listed below</w:t>
      </w:r>
      <w:r w:rsidRPr="009C016D">
        <w:rPr>
          <w:rFonts w:ascii="Century Schoolbook" w:hAnsi="Century Schoolbook"/>
        </w:rPr>
        <w:t>:</w:t>
      </w:r>
    </w:p>
    <w:tbl>
      <w:tblPr>
        <w:tblW w:w="6383" w:type="dxa"/>
        <w:jc w:val="center"/>
        <w:tblLook w:val="04A0" w:firstRow="1" w:lastRow="0" w:firstColumn="1" w:lastColumn="0" w:noHBand="0" w:noVBand="1"/>
      </w:tblPr>
      <w:tblGrid>
        <w:gridCol w:w="981"/>
        <w:gridCol w:w="1141"/>
        <w:gridCol w:w="1843"/>
        <w:gridCol w:w="2643"/>
      </w:tblGrid>
      <w:tr w:rsidR="002B63D8" w:rsidRPr="009C016D" w:rsidTr="002B63D8">
        <w:trPr>
          <w:trHeight w:val="432"/>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3D8" w:rsidRPr="009C016D" w:rsidRDefault="002B63D8" w:rsidP="002B63D8">
            <w:pPr>
              <w:jc w:val="center"/>
              <w:rPr>
                <w:rFonts w:ascii="Century Schoolbook" w:hAnsi="Century Schoolbook"/>
                <w:b/>
                <w:bCs/>
                <w:color w:val="000000"/>
              </w:rPr>
            </w:pPr>
            <w:r w:rsidRPr="009C016D">
              <w:rPr>
                <w:rFonts w:ascii="Century Schoolbook" w:hAnsi="Century Schoolbook"/>
                <w:b/>
                <w:bCs/>
                <w:color w:val="000000"/>
              </w:rPr>
              <w:t>Count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B63D8" w:rsidRPr="009C016D" w:rsidRDefault="002B63D8" w:rsidP="002B63D8">
            <w:pPr>
              <w:jc w:val="center"/>
              <w:rPr>
                <w:rFonts w:ascii="Century Schoolbook" w:hAnsi="Century Schoolbook"/>
                <w:b/>
                <w:bCs/>
                <w:color w:val="000000"/>
              </w:rPr>
            </w:pPr>
            <w:r w:rsidRPr="009C016D">
              <w:rPr>
                <w:rFonts w:ascii="Century Schoolbook" w:hAnsi="Century Schoolbook"/>
                <w:b/>
                <w:bCs/>
                <w:color w:val="000000"/>
              </w:rPr>
              <w:t>Patient</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2B63D8" w:rsidRPr="009C016D" w:rsidRDefault="002B63D8" w:rsidP="002B63D8">
            <w:pPr>
              <w:jc w:val="center"/>
              <w:rPr>
                <w:rFonts w:ascii="Century Schoolbook" w:hAnsi="Century Schoolbook"/>
                <w:b/>
                <w:bCs/>
                <w:color w:val="000000"/>
              </w:rPr>
            </w:pPr>
            <w:r w:rsidRPr="009C016D">
              <w:rPr>
                <w:rFonts w:ascii="Century Schoolbook" w:hAnsi="Century Schoolbook"/>
                <w:b/>
                <w:bCs/>
                <w:color w:val="000000"/>
              </w:rPr>
              <w:t>Approximate Date of Distribution</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2B63D8" w:rsidRPr="009C016D" w:rsidRDefault="002B63D8" w:rsidP="002B63D8">
            <w:pPr>
              <w:jc w:val="center"/>
              <w:rPr>
                <w:rFonts w:ascii="Century Schoolbook" w:hAnsi="Century Schoolbook"/>
                <w:b/>
                <w:bCs/>
                <w:color w:val="000000"/>
              </w:rPr>
            </w:pPr>
            <w:r w:rsidRPr="009C016D">
              <w:rPr>
                <w:rFonts w:ascii="Century Schoolbook" w:hAnsi="Century Schoolbook"/>
                <w:b/>
                <w:bCs/>
                <w:color w:val="000000"/>
              </w:rPr>
              <w:t>Controlled Substance(s)</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B.H.</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8/7/2013</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Methadone,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2</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S.J.</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9/19/2013</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3</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D.P.</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10/16/2013</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Morphine,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4</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M.M.</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12/9/2013</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 OxyContin</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5</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D.D.</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12/18/2013</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Morphine,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6</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L.P.</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1/20/2014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7</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G.S.</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4/3/2014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Fentanyl,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8</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D.M.</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4/22/2014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Fentanyl,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9</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L.C.</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6/12/2014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10</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C.C.</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7/16/2014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 OxyContin</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11</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T.O.</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7/22/2014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12</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M.A.</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9/24/2014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 OxyContin</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13</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L.M.</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10/27/2014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Fentanyl, Oxycodone</w:t>
            </w:r>
          </w:p>
        </w:tc>
      </w:tr>
      <w:tr w:rsidR="002B63D8" w:rsidRPr="009C016D" w:rsidTr="002B63D8">
        <w:trPr>
          <w:trHeight w:val="432"/>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14</w:t>
            </w:r>
          </w:p>
        </w:tc>
        <w:tc>
          <w:tcPr>
            <w:tcW w:w="100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M.S.</w:t>
            </w:r>
          </w:p>
        </w:tc>
        <w:tc>
          <w:tcPr>
            <w:tcW w:w="1840"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10/30/2014</w:t>
            </w:r>
          </w:p>
        </w:tc>
        <w:tc>
          <w:tcPr>
            <w:tcW w:w="2643" w:type="dxa"/>
            <w:tcBorders>
              <w:top w:val="nil"/>
              <w:left w:val="nil"/>
              <w:bottom w:val="single" w:sz="4" w:space="0" w:color="auto"/>
              <w:right w:val="single" w:sz="4" w:space="0" w:color="auto"/>
            </w:tcBorders>
            <w:shd w:val="clear" w:color="auto" w:fill="auto"/>
            <w:noWrap/>
            <w:vAlign w:val="center"/>
            <w:hideMark/>
          </w:tcPr>
          <w:p w:rsidR="002B63D8" w:rsidRPr="009C016D" w:rsidRDefault="002B63D8" w:rsidP="002B63D8">
            <w:pPr>
              <w:jc w:val="center"/>
              <w:rPr>
                <w:rFonts w:ascii="Century Schoolbook" w:hAnsi="Century Schoolbook"/>
                <w:color w:val="000000"/>
              </w:rPr>
            </w:pPr>
            <w:r w:rsidRPr="009C016D">
              <w:rPr>
                <w:rFonts w:ascii="Century Schoolbook" w:hAnsi="Century Schoolbook"/>
                <w:color w:val="000000"/>
              </w:rPr>
              <w:t>Oxycodone</w:t>
            </w:r>
          </w:p>
        </w:tc>
      </w:tr>
    </w:tbl>
    <w:p w:rsidR="002B63D8" w:rsidRPr="009C016D" w:rsidRDefault="002B63D8" w:rsidP="00EC02A3">
      <w:pPr>
        <w:spacing w:line="480" w:lineRule="auto"/>
        <w:rPr>
          <w:rFonts w:ascii="Century Schoolbook" w:hAnsi="Century Schoolbook"/>
        </w:rPr>
      </w:pPr>
    </w:p>
    <w:p w:rsidR="008307C2" w:rsidRPr="009C016D" w:rsidRDefault="008307C2" w:rsidP="007C775D">
      <w:pPr>
        <w:spacing w:line="480" w:lineRule="auto"/>
        <w:jc w:val="both"/>
        <w:rPr>
          <w:rFonts w:ascii="Century Schoolbook" w:hAnsi="Century Schoolbook"/>
        </w:rPr>
      </w:pPr>
      <w:r w:rsidRPr="009C016D">
        <w:rPr>
          <w:rFonts w:ascii="Century Schoolbook" w:hAnsi="Century Schoolbook"/>
        </w:rPr>
        <w:lastRenderedPageBreak/>
        <w:tab/>
        <w:t xml:space="preserve">In violation of Title 21, United States Code, Sections 841(a)(1) and 841(b)(1)(C) and Title 18, United States Code, Section 2.  </w:t>
      </w:r>
    </w:p>
    <w:p w:rsidR="00EC02A3" w:rsidRPr="009C016D" w:rsidRDefault="00EC02A3" w:rsidP="00EC02A3">
      <w:pPr>
        <w:jc w:val="center"/>
        <w:rPr>
          <w:rFonts w:ascii="Century Schoolbook" w:hAnsi="Century Schoolbook"/>
          <w:b/>
          <w:u w:val="single"/>
        </w:rPr>
      </w:pPr>
      <w:r w:rsidRPr="009C016D">
        <w:rPr>
          <w:rFonts w:ascii="Century Schoolbook" w:hAnsi="Century Schoolbook"/>
          <w:b/>
          <w:u w:val="single"/>
        </w:rPr>
        <w:t xml:space="preserve">COUNT </w:t>
      </w:r>
      <w:r w:rsidR="00F11D09" w:rsidRPr="009C016D">
        <w:rPr>
          <w:rFonts w:ascii="Century Schoolbook" w:hAnsi="Century Schoolbook"/>
          <w:b/>
          <w:u w:val="single"/>
        </w:rPr>
        <w:t>FIFTEEN</w:t>
      </w:r>
    </w:p>
    <w:p w:rsidR="008F7DCA" w:rsidRPr="009C016D" w:rsidRDefault="008F7DCA" w:rsidP="00EC02A3">
      <w:pPr>
        <w:jc w:val="center"/>
        <w:rPr>
          <w:rFonts w:ascii="Century Schoolbook" w:hAnsi="Century Schoolbook"/>
          <w:b/>
        </w:rPr>
      </w:pPr>
      <w:r w:rsidRPr="009C016D">
        <w:rPr>
          <w:rFonts w:ascii="Century Schoolbook" w:hAnsi="Century Schoolbook"/>
          <w:b/>
        </w:rPr>
        <w:t>Maintaining a Drug-Involved Premises</w:t>
      </w:r>
    </w:p>
    <w:p w:rsidR="008F7DCA" w:rsidRPr="009C016D" w:rsidRDefault="008F7DCA" w:rsidP="00EC02A3">
      <w:pPr>
        <w:jc w:val="center"/>
        <w:rPr>
          <w:rFonts w:ascii="Century Schoolbook" w:hAnsi="Century Schoolbook"/>
          <w:b/>
        </w:rPr>
      </w:pPr>
      <w:r w:rsidRPr="009C016D">
        <w:rPr>
          <w:rFonts w:ascii="Century Schoolbook" w:hAnsi="Century Schoolbook"/>
          <w:b/>
        </w:rPr>
        <w:t>(21 U.S.C. § 856(a)(1))</w:t>
      </w:r>
    </w:p>
    <w:p w:rsidR="008F7DCA" w:rsidRPr="009C016D" w:rsidRDefault="008F7DCA" w:rsidP="008F7DCA">
      <w:pPr>
        <w:ind w:firstLine="720"/>
        <w:rPr>
          <w:rFonts w:ascii="Century Schoolbook" w:hAnsi="Century Schoolbook"/>
        </w:rPr>
      </w:pPr>
    </w:p>
    <w:p w:rsidR="008F7DCA" w:rsidRPr="009C016D" w:rsidRDefault="008F7DCA" w:rsidP="007C775D">
      <w:pPr>
        <w:pStyle w:val="ListParagraph"/>
        <w:rPr>
          <w:rFonts w:ascii="Century Schoolbook" w:hAnsi="Century Schoolbook"/>
        </w:rPr>
      </w:pPr>
      <w:r w:rsidRPr="009C016D">
        <w:rPr>
          <w:rFonts w:ascii="Century Schoolbook" w:hAnsi="Century Schoolbook"/>
        </w:rPr>
        <w:t xml:space="preserve">The allegations contained in paragraphs </w:t>
      </w:r>
      <w:r w:rsidR="002B63D8" w:rsidRPr="009C016D">
        <w:rPr>
          <w:rFonts w:ascii="Century Schoolbook" w:hAnsi="Century Schoolbook"/>
        </w:rPr>
        <w:t>1</w:t>
      </w:r>
      <w:r w:rsidRPr="009C016D">
        <w:rPr>
          <w:rFonts w:ascii="Century Schoolbook" w:hAnsi="Century Schoolbook"/>
        </w:rPr>
        <w:t xml:space="preserve"> through </w:t>
      </w:r>
      <w:r w:rsidR="007A0640" w:rsidRPr="009C016D">
        <w:rPr>
          <w:rFonts w:ascii="Century Schoolbook" w:hAnsi="Century Schoolbook"/>
        </w:rPr>
        <w:t>2</w:t>
      </w:r>
      <w:r w:rsidR="00395243">
        <w:rPr>
          <w:rFonts w:ascii="Century Schoolbook" w:hAnsi="Century Schoolbook"/>
        </w:rPr>
        <w:t>2</w:t>
      </w:r>
      <w:r w:rsidRPr="009C016D">
        <w:rPr>
          <w:rFonts w:ascii="Century Schoolbook" w:hAnsi="Century Schoolbook"/>
        </w:rPr>
        <w:t xml:space="preserve"> of this Indictment are </w:t>
      </w:r>
      <w:r w:rsidR="00054153" w:rsidRPr="009C016D">
        <w:rPr>
          <w:rFonts w:ascii="Century Schoolbook" w:hAnsi="Century Schoolbook"/>
        </w:rPr>
        <w:t>realleged and incorporated by reference as though fully set forth herein.</w:t>
      </w:r>
    </w:p>
    <w:p w:rsidR="00054153" w:rsidRPr="009C016D" w:rsidRDefault="00545475" w:rsidP="007C775D">
      <w:pPr>
        <w:pStyle w:val="ListParagraph"/>
        <w:rPr>
          <w:rFonts w:ascii="Century Schoolbook" w:hAnsi="Century Schoolbook"/>
        </w:rPr>
      </w:pPr>
      <w:r w:rsidRPr="009C016D">
        <w:rPr>
          <w:rFonts w:ascii="Century Schoolbook" w:hAnsi="Century Schoolbook"/>
        </w:rPr>
        <w:t>From</w:t>
      </w:r>
      <w:r w:rsidR="00535F08" w:rsidRPr="009C016D">
        <w:rPr>
          <w:rFonts w:ascii="Century Schoolbook" w:hAnsi="Century Schoolbook"/>
        </w:rPr>
        <w:t xml:space="preserve"> no later than</w:t>
      </w:r>
      <w:r w:rsidRPr="009C016D">
        <w:rPr>
          <w:rFonts w:ascii="Century Schoolbook" w:hAnsi="Century Schoolbook"/>
        </w:rPr>
        <w:t xml:space="preserve"> in or around </w:t>
      </w:r>
      <w:r w:rsidR="00054153" w:rsidRPr="009C016D">
        <w:rPr>
          <w:rFonts w:ascii="Century Schoolbook" w:hAnsi="Century Schoolbook"/>
        </w:rPr>
        <w:t>201</w:t>
      </w:r>
      <w:r w:rsidR="007C775D" w:rsidRPr="009C016D">
        <w:rPr>
          <w:rFonts w:ascii="Century Schoolbook" w:hAnsi="Century Schoolbook"/>
        </w:rPr>
        <w:t>2</w:t>
      </w:r>
      <w:r w:rsidR="00054153" w:rsidRPr="009C016D">
        <w:rPr>
          <w:rFonts w:ascii="Century Schoolbook" w:hAnsi="Century Schoolbook"/>
        </w:rPr>
        <w:t xml:space="preserve"> </w:t>
      </w:r>
      <w:r w:rsidRPr="009C016D">
        <w:rPr>
          <w:rFonts w:ascii="Century Schoolbook" w:hAnsi="Century Schoolbook"/>
        </w:rPr>
        <w:t>and continuing through in or around 201</w:t>
      </w:r>
      <w:r w:rsidR="00535F08" w:rsidRPr="009C016D">
        <w:rPr>
          <w:rFonts w:ascii="Century Schoolbook" w:hAnsi="Century Schoolbook"/>
        </w:rPr>
        <w:t>4</w:t>
      </w:r>
      <w:r w:rsidR="002B63D8" w:rsidRPr="009C016D">
        <w:rPr>
          <w:rFonts w:ascii="Century Schoolbook" w:hAnsi="Century Schoolbook"/>
        </w:rPr>
        <w:t>,</w:t>
      </w:r>
      <w:r w:rsidRPr="009C016D">
        <w:rPr>
          <w:rFonts w:ascii="Century Schoolbook" w:hAnsi="Century Schoolbook"/>
        </w:rPr>
        <w:t xml:space="preserve"> </w:t>
      </w:r>
      <w:r w:rsidR="00054153" w:rsidRPr="009C016D">
        <w:rPr>
          <w:rFonts w:ascii="Century Schoolbook" w:hAnsi="Century Schoolbook"/>
        </w:rPr>
        <w:t>in the District of Delaware, the Defendant</w:t>
      </w:r>
      <w:r w:rsidR="00395243">
        <w:rPr>
          <w:rFonts w:ascii="Century Schoolbook" w:hAnsi="Century Schoolbook"/>
        </w:rPr>
        <w:t>,</w:t>
      </w:r>
    </w:p>
    <w:p w:rsidR="007C775D" w:rsidRPr="009C016D" w:rsidRDefault="007C775D" w:rsidP="007C775D">
      <w:pPr>
        <w:jc w:val="center"/>
        <w:rPr>
          <w:rFonts w:ascii="Century Schoolbook" w:hAnsi="Century Schoolbook"/>
          <w:b/>
        </w:rPr>
      </w:pPr>
      <w:r w:rsidRPr="009C016D">
        <w:rPr>
          <w:rFonts w:ascii="Century Schoolbook" w:hAnsi="Century Schoolbook"/>
          <w:b/>
        </w:rPr>
        <w:t>PATRICK TITUS</w:t>
      </w:r>
    </w:p>
    <w:p w:rsidR="007C775D" w:rsidRPr="009C016D" w:rsidRDefault="007C775D" w:rsidP="007C775D">
      <w:pPr>
        <w:jc w:val="center"/>
        <w:rPr>
          <w:rFonts w:ascii="Century Schoolbook" w:hAnsi="Century Schoolbook"/>
          <w:b/>
        </w:rPr>
      </w:pPr>
    </w:p>
    <w:p w:rsidR="00545475" w:rsidRPr="009C016D" w:rsidRDefault="00545475" w:rsidP="007C775D">
      <w:pPr>
        <w:spacing w:line="480" w:lineRule="auto"/>
        <w:jc w:val="both"/>
        <w:rPr>
          <w:rFonts w:ascii="Century Schoolbook" w:hAnsi="Century Schoolbook"/>
        </w:rPr>
      </w:pPr>
      <w:r w:rsidRPr="009C016D">
        <w:rPr>
          <w:rFonts w:ascii="Century Schoolbook" w:hAnsi="Century Schoolbook"/>
        </w:rPr>
        <w:t xml:space="preserve">aided and abetted by others, </w:t>
      </w:r>
      <w:r w:rsidR="00D232B6">
        <w:rPr>
          <w:rFonts w:ascii="Century Schoolbook" w:hAnsi="Century Schoolbook"/>
        </w:rPr>
        <w:t xml:space="preserve">did </w:t>
      </w:r>
      <w:r w:rsidRPr="009C016D">
        <w:rPr>
          <w:rFonts w:ascii="Century Schoolbook" w:hAnsi="Century Schoolbook"/>
        </w:rPr>
        <w:t xml:space="preserve">knowingly, intentionally, and unlawfully </w:t>
      </w:r>
      <w:r w:rsidR="00D232B6">
        <w:rPr>
          <w:rFonts w:ascii="Century Schoolbook" w:hAnsi="Century Schoolbook"/>
        </w:rPr>
        <w:t>use and maintain</w:t>
      </w:r>
      <w:r w:rsidRPr="009C016D">
        <w:rPr>
          <w:rFonts w:ascii="Century Schoolbook" w:hAnsi="Century Schoolbook"/>
        </w:rPr>
        <w:t xml:space="preserve"> a place known as Lighthouse Internal Medicine, located at</w:t>
      </w:r>
      <w:r w:rsidR="00535F08" w:rsidRPr="009C016D">
        <w:rPr>
          <w:rFonts w:ascii="Century Schoolbook" w:hAnsi="Century Schoolbook"/>
        </w:rPr>
        <w:t xml:space="preserve"> 10</w:t>
      </w:r>
      <w:r w:rsidR="002B63D8" w:rsidRPr="009C016D">
        <w:rPr>
          <w:rFonts w:ascii="Century Schoolbook" w:hAnsi="Century Schoolbook"/>
        </w:rPr>
        <w:t>-12</w:t>
      </w:r>
      <w:r w:rsidR="007A0640" w:rsidRPr="009C016D">
        <w:rPr>
          <w:rFonts w:ascii="Century Schoolbook" w:hAnsi="Century Schoolbook"/>
        </w:rPr>
        <w:t xml:space="preserve"> North</w:t>
      </w:r>
      <w:r w:rsidR="00535F08" w:rsidRPr="009C016D">
        <w:rPr>
          <w:rFonts w:ascii="Century Schoolbook" w:hAnsi="Century Schoolbook"/>
        </w:rPr>
        <w:t xml:space="preserve"> Church Street,</w:t>
      </w:r>
      <w:r w:rsidRPr="009C016D">
        <w:rPr>
          <w:rFonts w:ascii="Century Schoolbook" w:hAnsi="Century Schoolbook"/>
        </w:rPr>
        <w:t xml:space="preserve"> Milford, Dela</w:t>
      </w:r>
      <w:r w:rsidR="00D232B6">
        <w:rPr>
          <w:rFonts w:ascii="Century Schoolbook" w:hAnsi="Century Schoolbook"/>
        </w:rPr>
        <w:t>ware for the purpose</w:t>
      </w:r>
      <w:r w:rsidRPr="009C016D">
        <w:rPr>
          <w:rFonts w:ascii="Century Schoolbook" w:hAnsi="Century Schoolbook"/>
        </w:rPr>
        <w:t xml:space="preserve"> of distributing Schedule II controlled substances outside the usual course of professional practice and without a legitimate medical purpose.</w:t>
      </w:r>
    </w:p>
    <w:p w:rsidR="00B77F6E" w:rsidRPr="009C016D" w:rsidRDefault="00545475" w:rsidP="00D232B6">
      <w:pPr>
        <w:spacing w:line="480" w:lineRule="auto"/>
        <w:ind w:firstLine="360"/>
        <w:jc w:val="both"/>
        <w:rPr>
          <w:rFonts w:ascii="Century Schoolbook" w:hAnsi="Century Schoolbook"/>
          <w:b/>
          <w:u w:val="single"/>
        </w:rPr>
      </w:pPr>
      <w:r w:rsidRPr="009C016D">
        <w:rPr>
          <w:rFonts w:ascii="Century Schoolbook" w:hAnsi="Century Schoolbook"/>
        </w:rPr>
        <w:t xml:space="preserve">In violation of Title 21, United States Code, Section 856(a)(1) and Title 18, United States Code, Section 2.  </w:t>
      </w:r>
    </w:p>
    <w:p w:rsidR="009C016D" w:rsidRPr="009C016D" w:rsidRDefault="009C016D" w:rsidP="009C016D">
      <w:pPr>
        <w:spacing w:line="480" w:lineRule="auto"/>
        <w:ind w:left="360"/>
        <w:jc w:val="center"/>
        <w:rPr>
          <w:rFonts w:ascii="Century Schoolbook" w:hAnsi="Century Schoolbook"/>
          <w:b/>
          <w:bCs/>
          <w:u w:val="single"/>
        </w:rPr>
      </w:pPr>
      <w:r w:rsidRPr="009C016D">
        <w:rPr>
          <w:rFonts w:ascii="Century Schoolbook" w:hAnsi="Century Schoolbook"/>
          <w:b/>
          <w:bCs/>
          <w:u w:val="single"/>
        </w:rPr>
        <w:t xml:space="preserve">NOTICE OF FORFEITURE </w:t>
      </w:r>
    </w:p>
    <w:p w:rsidR="009C016D" w:rsidRPr="009C016D" w:rsidRDefault="009C016D" w:rsidP="009C016D">
      <w:pPr>
        <w:keepNext/>
        <w:keepLines/>
        <w:tabs>
          <w:tab w:val="left" w:pos="-1080"/>
          <w:tab w:val="left" w:pos="-720"/>
          <w:tab w:val="left" w:pos="0"/>
          <w:tab w:val="left" w:pos="720"/>
          <w:tab w:val="left" w:pos="1440"/>
          <w:tab w:val="left" w:pos="2160"/>
          <w:tab w:val="left" w:pos="2880"/>
          <w:tab w:val="left" w:pos="3600"/>
          <w:tab w:val="left" w:pos="4770"/>
        </w:tabs>
        <w:spacing w:line="480" w:lineRule="auto"/>
        <w:jc w:val="both"/>
        <w:rPr>
          <w:rFonts w:ascii="Century Schoolbook" w:hAnsi="Century Schoolbook"/>
        </w:rPr>
      </w:pPr>
      <w:r w:rsidRPr="009C016D">
        <w:rPr>
          <w:rFonts w:ascii="Century Schoolbook" w:hAnsi="Century Schoolbook"/>
        </w:rPr>
        <w:tab/>
        <w:t>Upon conviction of the controlled substance offenses alleged in Counts One through Fifteen of this Indictment, defendant shall forfeit to the United States pursuant to 21 U.S.C. § 853, any property used, or intended to be used, in any manner or part, to commit, or to facilitate the commission of the said violation.</w:t>
      </w:r>
    </w:p>
    <w:p w:rsidR="009C016D" w:rsidRPr="009C016D" w:rsidRDefault="009C016D" w:rsidP="009C016D">
      <w:pPr>
        <w:spacing w:line="360" w:lineRule="auto"/>
        <w:ind w:firstLine="720"/>
        <w:jc w:val="both"/>
        <w:rPr>
          <w:rFonts w:ascii="Century Schoolbook" w:eastAsia="PMingLiU" w:hAnsi="Century Schoolbook"/>
        </w:rPr>
      </w:pPr>
      <w:r w:rsidRPr="009C016D">
        <w:rPr>
          <w:rFonts w:ascii="Century Schoolbook" w:eastAsia="PMingLiU" w:hAnsi="Century Schoolbook"/>
        </w:rPr>
        <w:t>If any of the above-described forfeitable property, as a result of any act or omission of the defendant:</w:t>
      </w:r>
    </w:p>
    <w:p w:rsidR="009C016D" w:rsidRPr="009C016D" w:rsidRDefault="009C016D" w:rsidP="009C016D">
      <w:pPr>
        <w:ind w:left="720" w:firstLine="720"/>
        <w:jc w:val="both"/>
        <w:rPr>
          <w:rFonts w:ascii="Century Schoolbook" w:eastAsia="PMingLiU" w:hAnsi="Century Schoolbook"/>
        </w:rPr>
      </w:pPr>
      <w:r w:rsidRPr="009C016D">
        <w:rPr>
          <w:rFonts w:ascii="Century Schoolbook" w:eastAsia="PMingLiU" w:hAnsi="Century Schoolbook"/>
        </w:rPr>
        <w:lastRenderedPageBreak/>
        <w:t>(a)  cannot be located upon the exercise of due diligence;</w:t>
      </w:r>
    </w:p>
    <w:p w:rsidR="009C016D" w:rsidRPr="009C016D" w:rsidRDefault="009C016D" w:rsidP="009C016D">
      <w:pPr>
        <w:ind w:firstLine="1440"/>
        <w:jc w:val="both"/>
        <w:rPr>
          <w:rFonts w:ascii="Century Schoolbook" w:eastAsia="PMingLiU" w:hAnsi="Century Schoolbook"/>
        </w:rPr>
      </w:pPr>
      <w:r w:rsidRPr="009C016D">
        <w:rPr>
          <w:rFonts w:ascii="Century Schoolbook" w:eastAsia="PMingLiU" w:hAnsi="Century Schoolbook"/>
        </w:rPr>
        <w:t>(b)  has been transferred or sold to, or deposited with, a third party;</w:t>
      </w:r>
    </w:p>
    <w:p w:rsidR="009C016D" w:rsidRPr="009C016D" w:rsidRDefault="009C016D" w:rsidP="009C016D">
      <w:pPr>
        <w:ind w:firstLine="1440"/>
        <w:jc w:val="both"/>
        <w:rPr>
          <w:rFonts w:ascii="Century Schoolbook" w:eastAsia="PMingLiU" w:hAnsi="Century Schoolbook"/>
        </w:rPr>
      </w:pPr>
      <w:r w:rsidRPr="009C016D">
        <w:rPr>
          <w:rFonts w:ascii="Century Schoolbook" w:eastAsia="PMingLiU" w:hAnsi="Century Schoolbook"/>
        </w:rPr>
        <w:t>(c)  has been placed beyond the jurisdiction of the court;</w:t>
      </w:r>
    </w:p>
    <w:p w:rsidR="009C016D" w:rsidRPr="009C016D" w:rsidRDefault="009C016D" w:rsidP="009C016D">
      <w:pPr>
        <w:ind w:firstLine="1440"/>
        <w:jc w:val="both"/>
        <w:rPr>
          <w:rFonts w:ascii="Century Schoolbook" w:eastAsia="PMingLiU" w:hAnsi="Century Schoolbook"/>
        </w:rPr>
      </w:pPr>
      <w:r w:rsidRPr="009C016D">
        <w:rPr>
          <w:rFonts w:ascii="Century Schoolbook" w:eastAsia="PMingLiU" w:hAnsi="Century Schoolbook"/>
        </w:rPr>
        <w:t>(d)  has been substantially diminished in value; or</w:t>
      </w:r>
    </w:p>
    <w:p w:rsidR="009C016D" w:rsidRPr="009C016D" w:rsidRDefault="009C016D" w:rsidP="009C016D">
      <w:pPr>
        <w:ind w:left="1440"/>
        <w:jc w:val="both"/>
        <w:rPr>
          <w:rFonts w:ascii="Century Schoolbook" w:eastAsia="PMingLiU" w:hAnsi="Century Schoolbook"/>
        </w:rPr>
      </w:pPr>
      <w:r w:rsidRPr="009C016D">
        <w:rPr>
          <w:rFonts w:ascii="Century Schoolbook" w:eastAsia="PMingLiU" w:hAnsi="Century Schoolbook"/>
        </w:rPr>
        <w:t>(e)  has been commingled with other property which cannot be divided without difficulty;</w:t>
      </w:r>
      <w:r w:rsidRPr="009C016D">
        <w:rPr>
          <w:rFonts w:ascii="Century Schoolbook" w:eastAsia="PMingLiU" w:hAnsi="Century Schoolbook"/>
        </w:rPr>
        <w:tab/>
      </w:r>
    </w:p>
    <w:p w:rsidR="009C016D" w:rsidRPr="009C016D" w:rsidRDefault="009C016D" w:rsidP="009C016D">
      <w:pPr>
        <w:ind w:left="1440"/>
        <w:jc w:val="both"/>
        <w:rPr>
          <w:rFonts w:ascii="Century Schoolbook" w:eastAsia="PMingLiU" w:hAnsi="Century Schoolbook"/>
          <w:b/>
          <w:bCs/>
          <w:u w:val="single"/>
        </w:rPr>
      </w:pPr>
      <w:r w:rsidRPr="009C016D">
        <w:rPr>
          <w:rFonts w:ascii="Century Schoolbook" w:eastAsia="PMingLiU" w:hAnsi="Century Schoolbook"/>
        </w:rPr>
        <w:tab/>
      </w:r>
    </w:p>
    <w:p w:rsidR="009C016D" w:rsidRPr="009C016D" w:rsidRDefault="009C016D" w:rsidP="009C016D">
      <w:pPr>
        <w:spacing w:line="480" w:lineRule="auto"/>
        <w:jc w:val="both"/>
        <w:rPr>
          <w:rFonts w:ascii="Century Schoolbook" w:eastAsia="PMingLiU" w:hAnsi="Century Schoolbook"/>
        </w:rPr>
      </w:pPr>
      <w:r w:rsidRPr="009C016D">
        <w:rPr>
          <w:rFonts w:ascii="Century Schoolbook" w:eastAsia="PMingLiU" w:hAnsi="Century Schoolbook"/>
        </w:rPr>
        <w:t>it is the intent of the United States, pursuant to 21 U.S.C. § 853(p), to seek forfeiture of any other property of said defendant up to the value of the forfeitable property described above.</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rFonts w:ascii="Century Schoolbook" w:hAnsi="Century Schoolbook"/>
        </w:rPr>
      </w:pPr>
      <w:r w:rsidRPr="009C016D">
        <w:rPr>
          <w:rFonts w:ascii="Century Schoolbook" w:hAnsi="Century Schoolbook"/>
        </w:rPr>
        <w:tab/>
        <w:t>___________________________</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rFonts w:ascii="Century Schoolbook" w:hAnsi="Century Schoolbook"/>
        </w:rPr>
      </w:pPr>
      <w:r w:rsidRPr="009C016D">
        <w:rPr>
          <w:rFonts w:ascii="Century Schoolbook" w:hAnsi="Century Schoolbook"/>
        </w:rPr>
        <w:tab/>
        <w:t>Grand Jury Foreperson</w:t>
      </w:r>
    </w:p>
    <w:p w:rsidR="009C016D" w:rsidRPr="009C016D" w:rsidRDefault="009C016D" w:rsidP="009C016D">
      <w:pPr>
        <w:ind w:left="5040" w:firstLine="720"/>
        <w:rPr>
          <w:rFonts w:ascii="Century Schoolbook" w:hAnsi="Century Schoolbook"/>
          <w:bCs/>
        </w:rPr>
      </w:pPr>
    </w:p>
    <w:p w:rsidR="009C016D" w:rsidRPr="009C016D" w:rsidRDefault="009C016D" w:rsidP="009C016D">
      <w:pPr>
        <w:ind w:left="5040" w:firstLine="720"/>
        <w:rPr>
          <w:rFonts w:ascii="Century Schoolbook" w:hAnsi="Century Schoolbook"/>
          <w:bCs/>
        </w:rPr>
      </w:pPr>
    </w:p>
    <w:p w:rsidR="009C016D" w:rsidRPr="009C016D" w:rsidRDefault="009C016D" w:rsidP="009C016D">
      <w:pPr>
        <w:rPr>
          <w:rFonts w:ascii="Century Schoolbook" w:hAnsi="Century Schoolbook"/>
        </w:rPr>
      </w:pPr>
      <w:r w:rsidRPr="009C016D">
        <w:rPr>
          <w:rFonts w:ascii="Century Schoolbook" w:hAnsi="Century Schoolbook"/>
          <w:bCs/>
        </w:rPr>
        <w:t xml:space="preserve">       DAVID C. WEISS</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sidRPr="009C016D">
        <w:rPr>
          <w:rFonts w:ascii="Century Schoolbook" w:hAnsi="Century Schoolbook"/>
        </w:rPr>
        <w:t xml:space="preserve">       United States Attorney</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sidRPr="009C016D">
        <w:rPr>
          <w:rFonts w:ascii="Century Schoolbook" w:hAnsi="Century Schoolbook"/>
        </w:rPr>
        <w:t>BY: ___________________________</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sidRPr="009C016D">
        <w:rPr>
          <w:rFonts w:ascii="Century Schoolbook" w:hAnsi="Century Schoolbook"/>
        </w:rPr>
        <w:t xml:space="preserve">       Aleza Remis</w:t>
      </w:r>
    </w:p>
    <w:p w:rsidR="009C016D" w:rsidRPr="009C016D" w:rsidRDefault="009C016D" w:rsidP="009C016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sidRPr="009C016D">
        <w:rPr>
          <w:rFonts w:ascii="Century Schoolbook" w:hAnsi="Century Schoolbook"/>
        </w:rPr>
        <w:tab/>
        <w:t xml:space="preserve">Trial Attorney </w:t>
      </w:r>
    </w:p>
    <w:p w:rsidR="009C016D" w:rsidRPr="009C016D" w:rsidRDefault="00FD2282" w:rsidP="009C016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Pr>
          <w:rFonts w:ascii="Century Schoolbook" w:hAnsi="Century Schoolbook"/>
        </w:rPr>
        <w:tab/>
        <w:t>Edmo</w:t>
      </w:r>
      <w:r w:rsidR="009C016D" w:rsidRPr="009C016D">
        <w:rPr>
          <w:rFonts w:ascii="Century Schoolbook" w:hAnsi="Century Schoolbook"/>
        </w:rPr>
        <w:t>nd F</w:t>
      </w:r>
      <w:r w:rsidR="00F743D5">
        <w:rPr>
          <w:rFonts w:ascii="Century Schoolbook" w:hAnsi="Century Schoolbook"/>
        </w:rPr>
        <w:t>a</w:t>
      </w:r>
      <w:r w:rsidR="009C016D" w:rsidRPr="009C016D">
        <w:rPr>
          <w:rFonts w:ascii="Century Schoolbook" w:hAnsi="Century Schoolbook"/>
        </w:rPr>
        <w:t>lgowski</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r w:rsidRPr="009C016D">
        <w:rPr>
          <w:rFonts w:ascii="Century Schoolbook" w:hAnsi="Century Schoolbook"/>
        </w:rPr>
        <w:t xml:space="preserve">       Assistant United States Attorney</w:t>
      </w: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9C016D" w:rsidRPr="009C016D" w:rsidRDefault="009C016D" w:rsidP="009C01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9C016D" w:rsidRPr="009C016D" w:rsidRDefault="009C016D" w:rsidP="009C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Century Schoolbook" w:hAnsi="Century Schoolbook"/>
        </w:rPr>
      </w:pPr>
      <w:r w:rsidRPr="009C016D">
        <w:rPr>
          <w:rFonts w:ascii="Century Schoolbook" w:hAnsi="Century Schoolbook"/>
        </w:rPr>
        <w:t xml:space="preserve">DATED:  </w:t>
      </w:r>
    </w:p>
    <w:p w:rsidR="007C775D" w:rsidRPr="009C016D" w:rsidRDefault="007C775D" w:rsidP="009C016D">
      <w:pPr>
        <w:jc w:val="center"/>
        <w:rPr>
          <w:rFonts w:ascii="Century Schoolbook" w:hAnsi="Century Schoolbook"/>
        </w:rPr>
      </w:pPr>
    </w:p>
    <w:sectPr w:rsidR="007C775D" w:rsidRPr="009C01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82" w:rsidRDefault="00FD2282" w:rsidP="00FD2282">
      <w:r>
        <w:separator/>
      </w:r>
    </w:p>
  </w:endnote>
  <w:endnote w:type="continuationSeparator" w:id="0">
    <w:p w:rsidR="00FD2282" w:rsidRDefault="00FD2282" w:rsidP="00FD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Schoolbook" w:hAnsi="Century Schoolbook"/>
      </w:rPr>
      <w:id w:val="2134359961"/>
      <w:docPartObj>
        <w:docPartGallery w:val="Page Numbers (Bottom of Page)"/>
        <w:docPartUnique/>
      </w:docPartObj>
    </w:sdtPr>
    <w:sdtEndPr>
      <w:rPr>
        <w:noProof/>
      </w:rPr>
    </w:sdtEndPr>
    <w:sdtContent>
      <w:p w:rsidR="00FD2282" w:rsidRPr="00FD2282" w:rsidRDefault="00FD2282">
        <w:pPr>
          <w:pStyle w:val="Footer"/>
          <w:jc w:val="center"/>
          <w:rPr>
            <w:rFonts w:ascii="Century Schoolbook" w:hAnsi="Century Schoolbook"/>
          </w:rPr>
        </w:pPr>
        <w:r w:rsidRPr="00FD2282">
          <w:rPr>
            <w:rFonts w:ascii="Century Schoolbook" w:hAnsi="Century Schoolbook"/>
          </w:rPr>
          <w:fldChar w:fldCharType="begin"/>
        </w:r>
        <w:r w:rsidRPr="00FD2282">
          <w:rPr>
            <w:rFonts w:ascii="Century Schoolbook" w:hAnsi="Century Schoolbook"/>
          </w:rPr>
          <w:instrText xml:space="preserve"> PAGE   \* MERGEFORMAT </w:instrText>
        </w:r>
        <w:r w:rsidRPr="00FD2282">
          <w:rPr>
            <w:rFonts w:ascii="Century Schoolbook" w:hAnsi="Century Schoolbook"/>
          </w:rPr>
          <w:fldChar w:fldCharType="separate"/>
        </w:r>
        <w:r w:rsidR="00E5486D">
          <w:rPr>
            <w:rFonts w:ascii="Century Schoolbook" w:hAnsi="Century Schoolbook"/>
            <w:noProof/>
          </w:rPr>
          <w:t>5</w:t>
        </w:r>
        <w:r w:rsidRPr="00FD2282">
          <w:rPr>
            <w:rFonts w:ascii="Century Schoolbook" w:hAnsi="Century Schoolbook"/>
            <w:noProof/>
          </w:rPr>
          <w:fldChar w:fldCharType="end"/>
        </w:r>
      </w:p>
    </w:sdtContent>
  </w:sdt>
  <w:p w:rsidR="00FD2282" w:rsidRPr="00FD2282" w:rsidRDefault="00FD2282">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82" w:rsidRDefault="00FD2282" w:rsidP="00FD2282">
      <w:r>
        <w:separator/>
      </w:r>
    </w:p>
  </w:footnote>
  <w:footnote w:type="continuationSeparator" w:id="0">
    <w:p w:rsidR="00FD2282" w:rsidRDefault="00FD2282" w:rsidP="00FD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77BC"/>
    <w:multiLevelType w:val="hybridMultilevel"/>
    <w:tmpl w:val="6F6E6380"/>
    <w:lvl w:ilvl="0" w:tplc="AC14EB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868FB"/>
    <w:multiLevelType w:val="hybridMultilevel"/>
    <w:tmpl w:val="BE04252E"/>
    <w:lvl w:ilvl="0" w:tplc="E362C052">
      <w:start w:val="1"/>
      <w:numFmt w:val="decimal"/>
      <w:pStyle w:val="ListParagraph"/>
      <w:lvlText w:val="%1."/>
      <w:lvlJc w:val="left"/>
      <w:pPr>
        <w:ind w:left="12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A3"/>
    <w:rsid w:val="00054153"/>
    <w:rsid w:val="0008400E"/>
    <w:rsid w:val="001D6316"/>
    <w:rsid w:val="001F00FC"/>
    <w:rsid w:val="00293321"/>
    <w:rsid w:val="002B63D8"/>
    <w:rsid w:val="00335A28"/>
    <w:rsid w:val="00395243"/>
    <w:rsid w:val="003B6419"/>
    <w:rsid w:val="003C0ED5"/>
    <w:rsid w:val="003E3F53"/>
    <w:rsid w:val="00423FBD"/>
    <w:rsid w:val="00475A54"/>
    <w:rsid w:val="00475BE1"/>
    <w:rsid w:val="004976F4"/>
    <w:rsid w:val="004E142F"/>
    <w:rsid w:val="00535F08"/>
    <w:rsid w:val="00545475"/>
    <w:rsid w:val="00621922"/>
    <w:rsid w:val="006852BA"/>
    <w:rsid w:val="006A7AA6"/>
    <w:rsid w:val="006C57D0"/>
    <w:rsid w:val="006C7ACC"/>
    <w:rsid w:val="00727DAA"/>
    <w:rsid w:val="007A0640"/>
    <w:rsid w:val="007C775D"/>
    <w:rsid w:val="008307C2"/>
    <w:rsid w:val="008F7DCA"/>
    <w:rsid w:val="00924F45"/>
    <w:rsid w:val="009B191C"/>
    <w:rsid w:val="009B613D"/>
    <w:rsid w:val="009C016D"/>
    <w:rsid w:val="009E1AC4"/>
    <w:rsid w:val="00B77F6E"/>
    <w:rsid w:val="00BF3323"/>
    <w:rsid w:val="00C11FC8"/>
    <w:rsid w:val="00C71AC6"/>
    <w:rsid w:val="00CC253D"/>
    <w:rsid w:val="00D0464B"/>
    <w:rsid w:val="00D10E02"/>
    <w:rsid w:val="00D232B6"/>
    <w:rsid w:val="00DC098D"/>
    <w:rsid w:val="00DC3F5D"/>
    <w:rsid w:val="00DD1252"/>
    <w:rsid w:val="00E5486D"/>
    <w:rsid w:val="00EC02A3"/>
    <w:rsid w:val="00EC4AC9"/>
    <w:rsid w:val="00F11D09"/>
    <w:rsid w:val="00F721D9"/>
    <w:rsid w:val="00F743D5"/>
    <w:rsid w:val="00F87FE0"/>
    <w:rsid w:val="00FA42EB"/>
    <w:rsid w:val="00FD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CA9E0-5312-425C-A993-8422AD62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0ED5"/>
    <w:pPr>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A3"/>
    <w:pPr>
      <w:numPr>
        <w:numId w:val="1"/>
      </w:numPr>
      <w:spacing w:line="480" w:lineRule="auto"/>
      <w:ind w:left="0" w:firstLine="720"/>
      <w:jc w:val="both"/>
    </w:pPr>
  </w:style>
  <w:style w:type="paragraph" w:customStyle="1" w:styleId="Level2">
    <w:name w:val="Level 2"/>
    <w:uiPriority w:val="99"/>
    <w:rsid w:val="00EC02A3"/>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0ED5"/>
    <w:rPr>
      <w:rFonts w:ascii="Times New Roman" w:eastAsia="Times New Roman" w:hAnsi="Times New Roman" w:cs="Times New Roman"/>
      <w:b/>
      <w:sz w:val="24"/>
      <w:szCs w:val="24"/>
      <w:u w:val="single"/>
    </w:rPr>
  </w:style>
  <w:style w:type="paragraph" w:styleId="Header">
    <w:name w:val="header"/>
    <w:basedOn w:val="Normal"/>
    <w:link w:val="HeaderChar"/>
    <w:uiPriority w:val="99"/>
    <w:unhideWhenUsed/>
    <w:rsid w:val="00FD2282"/>
    <w:pPr>
      <w:tabs>
        <w:tab w:val="center" w:pos="4680"/>
        <w:tab w:val="right" w:pos="9360"/>
      </w:tabs>
    </w:pPr>
  </w:style>
  <w:style w:type="character" w:customStyle="1" w:styleId="HeaderChar">
    <w:name w:val="Header Char"/>
    <w:basedOn w:val="DefaultParagraphFont"/>
    <w:link w:val="Header"/>
    <w:uiPriority w:val="99"/>
    <w:rsid w:val="00FD2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282"/>
    <w:pPr>
      <w:tabs>
        <w:tab w:val="center" w:pos="4680"/>
        <w:tab w:val="right" w:pos="9360"/>
      </w:tabs>
    </w:pPr>
  </w:style>
  <w:style w:type="character" w:customStyle="1" w:styleId="FooterChar">
    <w:name w:val="Footer Char"/>
    <w:basedOn w:val="DefaultParagraphFont"/>
    <w:link w:val="Footer"/>
    <w:uiPriority w:val="99"/>
    <w:rsid w:val="00FD22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19532">
      <w:bodyDiv w:val="1"/>
      <w:marLeft w:val="0"/>
      <w:marRight w:val="0"/>
      <w:marTop w:val="0"/>
      <w:marBottom w:val="0"/>
      <w:divBdr>
        <w:top w:val="none" w:sz="0" w:space="0" w:color="auto"/>
        <w:left w:val="none" w:sz="0" w:space="0" w:color="auto"/>
        <w:bottom w:val="none" w:sz="0" w:space="0" w:color="auto"/>
        <w:right w:val="none" w:sz="0" w:space="0" w:color="auto"/>
      </w:divBdr>
    </w:div>
    <w:div w:id="19944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9E20-08FD-45C4-9B8F-D8464585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2037</Words>
  <Characters>11615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DOJ Criminial Division</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Remis, Aleza</dc:creator>
  <cp:keywords/>
  <dc:description/>
  <cp:lastModifiedBy>Reeves, Kimberlynn (USADE)</cp:lastModifiedBy>
  <cp:revision>2</cp:revision>
  <dcterms:created xsi:type="dcterms:W3CDTF">2018-06-28T16:44:00Z</dcterms:created>
  <dcterms:modified xsi:type="dcterms:W3CDTF">2018-06-28T16:44:00Z</dcterms:modified>
</cp:coreProperties>
</file>